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3</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AE6784" w:rsidRDefault="007679D1">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334BF6" w:rsidP="00897DAF">
            <w:pPr>
              <w:suppressLineNumbers/>
              <w:rPr>
                <w:rFonts w:ascii="Arial" w:hAnsi="Arial"/>
                <w:b/>
                <w:bCs/>
                <w:noProof w:val="0"/>
                <w:sz w:val="26"/>
                <w:szCs w:val="26"/>
                <w:rtl/>
              </w:rPr>
            </w:pPr>
            <w:r>
              <w:rPr>
                <w:rFonts w:ascii="Arial" w:hAnsi="Arial" w:hint="cs"/>
                <w:b/>
                <w:bCs/>
                <w:noProof w:val="0"/>
                <w:sz w:val="26"/>
                <w:szCs w:val="26"/>
                <w:rtl/>
              </w:rPr>
              <w:t>פלונית</w:t>
            </w:r>
          </w:p>
          <w:p w:rsidR="00EF0E3D" w:rsidRDefault="00EF0E3D" w:rsidP="00897DAF">
            <w:pPr>
              <w:suppressLineNumbers/>
              <w:rPr>
                <w:b/>
                <w:bCs/>
                <w:noProof w:val="0"/>
                <w:sz w:val="26"/>
                <w:szCs w:val="26"/>
              </w:rPr>
            </w:pPr>
            <w:r>
              <w:rPr>
                <w:rFonts w:hint="cs"/>
                <w:b/>
                <w:bCs/>
                <w:noProof w:val="0"/>
                <w:sz w:val="26"/>
                <w:szCs w:val="26"/>
                <w:rtl/>
              </w:rPr>
              <w:t>באמצעות בא כוחה עו"ד רועי ברומר</w:t>
            </w:r>
          </w:p>
        </w:tc>
      </w:tr>
      <w:tr w:rsidR="0094424E">
        <w:trPr>
          <w:jc w:val="center"/>
        </w:trPr>
        <w:tc>
          <w:tcPr>
            <w:tcW w:w="8820" w:type="dxa"/>
            <w:gridSpan w:val="4"/>
          </w:tcPr>
          <w:p w:rsidR="0094424E" w:rsidRPr="00EF0E3D"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40DE8" w:rsidP="00D44968">
            <w:pPr>
              <w:suppressLineNumbers/>
              <w:rPr>
                <w:rFonts w:ascii="Arial" w:hAnsi="Arial"/>
                <w:b/>
                <w:bCs/>
                <w:noProof w:val="0"/>
                <w:sz w:val="26"/>
                <w:szCs w:val="26"/>
              </w:rPr>
            </w:pPr>
            <w:sdt>
              <w:sdtPr>
                <w:rPr>
                  <w:rtl/>
                </w:rPr>
                <w:alias w:val="1184"/>
                <w:tag w:val="1184"/>
                <w:id w:val="-340621022"/>
                <w:text w:multiLine="1"/>
              </w:sdtPr>
              <w:sdtEndPr/>
              <w:sdtContent>
                <w:r w:rsidR="007679D1">
                  <w:rPr>
                    <w:rFonts w:ascii="Arial" w:hAnsi="Arial"/>
                    <w:b/>
                    <w:bCs/>
                    <w:noProof w:val="0"/>
                    <w:sz w:val="26"/>
                    <w:szCs w:val="26"/>
                    <w:rtl/>
                  </w:rPr>
                  <w:t>משיב</w:t>
                </w:r>
              </w:sdtContent>
            </w:sdt>
          </w:p>
        </w:tc>
        <w:tc>
          <w:tcPr>
            <w:tcW w:w="5571" w:type="dxa"/>
            <w:gridSpan w:val="2"/>
          </w:tcPr>
          <w:p w:rsidR="0094424E" w:rsidRDefault="00334BF6" w:rsidP="00897DAF">
            <w:pPr>
              <w:suppressLineNumbers/>
              <w:rPr>
                <w:rFonts w:ascii="Arial" w:hAnsi="Arial"/>
                <w:b/>
                <w:bCs/>
                <w:noProof w:val="0"/>
                <w:sz w:val="26"/>
                <w:szCs w:val="26"/>
                <w:rtl/>
              </w:rPr>
            </w:pPr>
            <w:r>
              <w:rPr>
                <w:rFonts w:hint="cs"/>
                <w:rtl/>
              </w:rPr>
              <w:t>פלוני</w:t>
            </w:r>
          </w:p>
          <w:p w:rsidR="00EF0E3D" w:rsidRPr="00E54CD9" w:rsidRDefault="00EF0E3D" w:rsidP="00897DAF">
            <w:pPr>
              <w:suppressLineNumbers/>
              <w:rPr>
                <w:rFonts w:ascii="Arial" w:hAnsi="Arial"/>
                <w:b/>
                <w:bCs/>
                <w:noProof w:val="0"/>
                <w:sz w:val="26"/>
                <w:szCs w:val="26"/>
                <w:rtl/>
              </w:rPr>
            </w:pPr>
            <w:r>
              <w:rPr>
                <w:rFonts w:ascii="Arial" w:hAnsi="Arial" w:hint="cs"/>
                <w:b/>
                <w:bCs/>
                <w:noProof w:val="0"/>
                <w:sz w:val="26"/>
                <w:szCs w:val="26"/>
                <w:rtl/>
              </w:rPr>
              <w:t>באמצעות בא כוחו עו"ד אמנון בנישתי</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679D1" w:rsidRDefault="007679D1" w:rsidP="00EF0E3D">
      <w:pPr>
        <w:spacing w:line="360" w:lineRule="auto"/>
        <w:ind w:left="720" w:hanging="720"/>
        <w:jc w:val="both"/>
        <w:rPr>
          <w:rFonts w:ascii="Arial" w:hAnsi="Arial"/>
        </w:rPr>
      </w:pPr>
      <w:bookmarkStart w:id="1" w:name="NGCSBookmark"/>
      <w:bookmarkEnd w:id="1"/>
      <w:r>
        <w:rPr>
          <w:rFonts w:ascii="Arial" w:hAnsi="Arial"/>
          <w:rtl/>
        </w:rPr>
        <w:t>1.</w:t>
      </w:r>
      <w:r>
        <w:rPr>
          <w:rFonts w:ascii="Arial" w:hAnsi="Arial"/>
          <w:rtl/>
        </w:rPr>
        <w:tab/>
        <w:t xml:space="preserve">ביום </w:t>
      </w:r>
      <w:r>
        <w:rPr>
          <w:rFonts w:ascii="Arial" w:hAnsi="Arial" w:hint="cs"/>
          <w:rtl/>
        </w:rPr>
        <w:t>6.7.2023</w:t>
      </w:r>
      <w:r w:rsidR="009C1043">
        <w:rPr>
          <w:rFonts w:ascii="Arial" w:hAnsi="Arial"/>
          <w:rtl/>
        </w:rPr>
        <w:t xml:space="preserve"> הוגשה </w:t>
      </w:r>
      <w:r w:rsidR="00EF0E3D">
        <w:rPr>
          <w:rFonts w:ascii="Arial" w:hAnsi="Arial" w:hint="cs"/>
          <w:rtl/>
        </w:rPr>
        <w:t xml:space="preserve">התובענה שבכותרת שהוגדרה כתביעה למזונות קטינים, במהלך השנה שחלפה הוגשו שלוש בקשות מוסכמות לדחיית קדם המשפט שנקבע, והלכה למעשה טרם התקיים קדם משפט, שכן באי כח הצדדים טענו לאורך כל השנה כי מנהלים שיח שצפוי להביא לסיום המחלוקות.  במסגרת בקשה אחרונה לדחיית דיון שהיה קבוע בחודש מאי 2024, הורה בית המשפט לבאי כח הצדדים להגיש עדכון ואולם תחת הגשת עדכון, הוגשה ביום </w:t>
      </w:r>
      <w:r w:rsidR="009C1043">
        <w:rPr>
          <w:rFonts w:ascii="Arial" w:hAnsi="Arial" w:hint="cs"/>
          <w:rtl/>
        </w:rPr>
        <w:t xml:space="preserve">16.6.2024 </w:t>
      </w:r>
      <w:r w:rsidR="00227231">
        <w:rPr>
          <w:rFonts w:ascii="Arial" w:hAnsi="Arial"/>
          <w:rtl/>
        </w:rPr>
        <w:t xml:space="preserve">בקשה לפסיקת מזונות זמניים. </w:t>
      </w:r>
      <w:r w:rsidR="009C1043">
        <w:rPr>
          <w:rFonts w:ascii="Arial" w:hAnsi="Arial"/>
          <w:rtl/>
        </w:rPr>
        <w:t xml:space="preserve">המשיב הגיש תגובה ביום </w:t>
      </w:r>
      <w:r w:rsidR="009C1043">
        <w:rPr>
          <w:rFonts w:ascii="Arial" w:hAnsi="Arial" w:hint="cs"/>
          <w:rtl/>
        </w:rPr>
        <w:t xml:space="preserve">4.7.2024 </w:t>
      </w:r>
      <w:r>
        <w:rPr>
          <w:rFonts w:ascii="Arial" w:hAnsi="Arial"/>
          <w:rtl/>
        </w:rPr>
        <w:t>ומכאן החלטה זו.</w:t>
      </w:r>
    </w:p>
    <w:p w:rsidR="00EF0E3D" w:rsidRDefault="007679D1" w:rsidP="00B73BC1">
      <w:pPr>
        <w:spacing w:line="360" w:lineRule="auto"/>
        <w:ind w:left="720" w:hanging="720"/>
        <w:jc w:val="both"/>
        <w:rPr>
          <w:rFonts w:ascii="Arial" w:hAnsi="Arial"/>
          <w:rtl/>
        </w:rPr>
      </w:pPr>
      <w:r>
        <w:rPr>
          <w:rFonts w:ascii="Arial" w:hAnsi="Arial"/>
          <w:rtl/>
        </w:rPr>
        <w:t>2.</w:t>
      </w:r>
      <w:r>
        <w:rPr>
          <w:rFonts w:ascii="Arial" w:hAnsi="Arial"/>
          <w:rtl/>
        </w:rPr>
        <w:tab/>
      </w:r>
      <w:r w:rsidR="00EF0E3D">
        <w:rPr>
          <w:rFonts w:ascii="Arial" w:hAnsi="Arial" w:hint="cs"/>
          <w:rtl/>
        </w:rPr>
        <w:t xml:space="preserve">ראשית ובפתח הדברים, יצוין כי בבקשה למזונות זמנים ממשיך ב"כ המבקשת להתייחס לשניים מילדי הצדדים כקטינים, על אף שבגרו מאז הגשת התביעה ועד הגשת הבקשה לפסיקת מזונות זמניים. </w:t>
      </w:r>
    </w:p>
    <w:p w:rsidR="007679D1" w:rsidRDefault="00EF0E3D" w:rsidP="00E462BA">
      <w:pPr>
        <w:spacing w:line="360" w:lineRule="auto"/>
        <w:ind w:left="720" w:hanging="720"/>
        <w:jc w:val="both"/>
        <w:rPr>
          <w:rFonts w:ascii="Arial" w:hAnsi="Arial"/>
          <w:b/>
          <w:bCs/>
          <w:rtl/>
        </w:rPr>
      </w:pPr>
      <w:r>
        <w:rPr>
          <w:rFonts w:ascii="Arial" w:hAnsi="Arial" w:hint="cs"/>
          <w:rtl/>
        </w:rPr>
        <w:t xml:space="preserve">3. </w:t>
      </w:r>
      <w:r>
        <w:rPr>
          <w:rFonts w:ascii="Arial" w:hAnsi="Arial"/>
          <w:rtl/>
        </w:rPr>
        <w:tab/>
      </w:r>
      <w:r>
        <w:rPr>
          <w:rFonts w:ascii="Arial" w:hAnsi="Arial" w:hint="cs"/>
          <w:rtl/>
        </w:rPr>
        <w:t>עסקינן למעשה בבקשה לפסיקת מזונות ארבעה ילדים, מתוכם שניים בגירים (בני 19, 18 שנים)  ושתי קטינות (</w:t>
      </w:r>
      <w:r w:rsidR="00E462BA">
        <w:rPr>
          <w:rFonts w:ascii="Arial" w:hAnsi="Arial" w:hint="cs"/>
          <w:rtl/>
        </w:rPr>
        <w:t xml:space="preserve">בנות 15 , 13 שנים) </w:t>
      </w:r>
      <w:r>
        <w:rPr>
          <w:rFonts w:ascii="Arial" w:hAnsi="Arial" w:hint="cs"/>
          <w:rtl/>
        </w:rPr>
        <w:t xml:space="preserve">. </w:t>
      </w:r>
    </w:p>
    <w:p w:rsidR="00E462BA" w:rsidRDefault="00E462BA" w:rsidP="00FF25C2">
      <w:pPr>
        <w:spacing w:line="360" w:lineRule="auto"/>
        <w:ind w:left="720" w:hanging="720"/>
        <w:jc w:val="both"/>
        <w:rPr>
          <w:rFonts w:ascii="Arial" w:hAnsi="Arial"/>
          <w:rtl/>
        </w:rPr>
      </w:pPr>
      <w:r>
        <w:rPr>
          <w:rFonts w:ascii="Arial" w:hAnsi="Arial" w:hint="cs"/>
          <w:rtl/>
        </w:rPr>
        <w:t>4</w:t>
      </w:r>
      <w:r w:rsidR="007679D1">
        <w:rPr>
          <w:rFonts w:ascii="Arial" w:hAnsi="Arial"/>
          <w:rtl/>
        </w:rPr>
        <w:t>.</w:t>
      </w:r>
      <w:r w:rsidR="007679D1">
        <w:rPr>
          <w:rFonts w:ascii="Arial" w:hAnsi="Arial"/>
          <w:rtl/>
        </w:rPr>
        <w:tab/>
      </w:r>
      <w:r>
        <w:rPr>
          <w:rFonts w:ascii="Arial" w:hAnsi="Arial" w:hint="cs"/>
          <w:rtl/>
        </w:rPr>
        <w:t>בבקשה לפסיקת מזונות זמניים טוענת המבקשת כי היא מהווה משמורנית מלאה של ה"קטינים", כולם מתגוררים עמה, טוענת כי היא מתגוררת יחד עם כל הילדים בדירה שכורה יחד עם בעלה מנישו</w:t>
      </w:r>
      <w:r w:rsidR="00FF25C2">
        <w:rPr>
          <w:rFonts w:ascii="Arial" w:hAnsi="Arial" w:hint="cs"/>
          <w:rtl/>
        </w:rPr>
        <w:t>י</w:t>
      </w:r>
      <w:r>
        <w:rPr>
          <w:rFonts w:ascii="Arial" w:hAnsi="Arial" w:hint="cs"/>
          <w:rtl/>
        </w:rPr>
        <w:t xml:space="preserve">אה השניים ומשלמת מחצית משכר הדירה תוך שהיא נושאת בכל הוצאות הילדים אשר </w:t>
      </w:r>
      <w:r w:rsidRPr="00E462BA">
        <w:rPr>
          <w:rFonts w:ascii="Arial" w:hAnsi="Arial" w:hint="cs"/>
          <w:u w:val="single"/>
          <w:rtl/>
        </w:rPr>
        <w:t>מתגוררים בבית</w:t>
      </w:r>
      <w:r>
        <w:rPr>
          <w:rFonts w:ascii="Arial" w:hAnsi="Arial" w:hint="cs"/>
          <w:rtl/>
        </w:rPr>
        <w:t xml:space="preserve"> לרבות הוצאות כלכלה,ביגוד, הנעלה חינוך רפואה וכיוצ"ב. לטענת המבקשת, המשיב "בקושי" שוהה עמם. </w:t>
      </w:r>
    </w:p>
    <w:p w:rsidR="005905EB" w:rsidRDefault="007679D1" w:rsidP="00E462BA">
      <w:pPr>
        <w:spacing w:line="360" w:lineRule="auto"/>
        <w:ind w:left="720"/>
        <w:jc w:val="both"/>
        <w:rPr>
          <w:rFonts w:ascii="Arial" w:hAnsi="Arial"/>
          <w:rtl/>
        </w:rPr>
      </w:pPr>
      <w:r>
        <w:rPr>
          <w:rFonts w:ascii="Arial" w:hAnsi="Arial"/>
          <w:rtl/>
        </w:rPr>
        <w:t>המבקשת</w:t>
      </w:r>
      <w:r>
        <w:rPr>
          <w:rFonts w:ascii="Arial" w:hAnsi="Arial"/>
          <w:color w:val="FF0000"/>
          <w:rtl/>
        </w:rPr>
        <w:t xml:space="preserve"> </w:t>
      </w:r>
      <w:r w:rsidR="00E462BA" w:rsidRPr="00E462BA">
        <w:rPr>
          <w:rFonts w:ascii="Arial" w:hAnsi="Arial" w:hint="cs"/>
          <w:rtl/>
        </w:rPr>
        <w:t>טוענת</w:t>
      </w:r>
      <w:r w:rsidR="00E462BA">
        <w:rPr>
          <w:rFonts w:ascii="Arial" w:hAnsi="Arial" w:hint="cs"/>
          <w:color w:val="FF0000"/>
          <w:rtl/>
        </w:rPr>
        <w:t xml:space="preserve"> </w:t>
      </w:r>
      <w:r w:rsidR="00E462BA">
        <w:rPr>
          <w:rFonts w:ascii="Arial" w:hAnsi="Arial" w:hint="cs"/>
          <w:rtl/>
        </w:rPr>
        <w:t xml:space="preserve">כי היא </w:t>
      </w:r>
      <w:r w:rsidR="00B73BC1">
        <w:rPr>
          <w:rFonts w:ascii="Arial" w:hAnsi="Arial"/>
          <w:rtl/>
        </w:rPr>
        <w:t xml:space="preserve">עובדת </w:t>
      </w:r>
      <w:r w:rsidR="00B73BC1">
        <w:rPr>
          <w:rFonts w:ascii="Arial" w:hAnsi="Arial" w:hint="cs"/>
          <w:rtl/>
        </w:rPr>
        <w:t xml:space="preserve">כסייעת בגן ילדים </w:t>
      </w:r>
      <w:r w:rsidR="00474D84">
        <w:rPr>
          <w:rFonts w:ascii="Arial" w:hAnsi="Arial"/>
          <w:rtl/>
        </w:rPr>
        <w:t>ו</w:t>
      </w:r>
      <w:r w:rsidR="00474D84">
        <w:rPr>
          <w:rFonts w:ascii="Arial" w:hAnsi="Arial" w:hint="cs"/>
          <w:rtl/>
        </w:rPr>
        <w:t>מש</w:t>
      </w:r>
      <w:r w:rsidR="00013ED0">
        <w:rPr>
          <w:rFonts w:ascii="Arial" w:hAnsi="Arial" w:hint="cs"/>
          <w:rtl/>
        </w:rPr>
        <w:t>ת</w:t>
      </w:r>
      <w:r w:rsidR="00474D84">
        <w:rPr>
          <w:rFonts w:ascii="Arial" w:hAnsi="Arial" w:hint="cs"/>
          <w:rtl/>
        </w:rPr>
        <w:t>כרת</w:t>
      </w:r>
      <w:r w:rsidR="00B73BC1">
        <w:rPr>
          <w:rFonts w:ascii="Arial" w:hAnsi="Arial" w:hint="cs"/>
          <w:rtl/>
        </w:rPr>
        <w:t xml:space="preserve"> </w:t>
      </w:r>
      <w:r w:rsidR="00B73BC1">
        <w:rPr>
          <w:rFonts w:ascii="Arial" w:hAnsi="Arial"/>
          <w:rtl/>
        </w:rPr>
        <w:t xml:space="preserve">סך של </w:t>
      </w:r>
      <w:r w:rsidR="00B73BC1">
        <w:rPr>
          <w:rFonts w:ascii="Arial" w:hAnsi="Arial" w:hint="cs"/>
          <w:rtl/>
        </w:rPr>
        <w:t>5,500</w:t>
      </w:r>
      <w:r>
        <w:rPr>
          <w:rFonts w:ascii="Arial" w:hAnsi="Arial"/>
          <w:rtl/>
        </w:rPr>
        <w:t xml:space="preserve"> ₪ נטו בממוצע לחודש.</w:t>
      </w:r>
    </w:p>
    <w:p w:rsidR="007679D1" w:rsidRPr="00A07AC2" w:rsidRDefault="00483D66" w:rsidP="00E462BA">
      <w:pPr>
        <w:spacing w:line="360" w:lineRule="auto"/>
        <w:ind w:left="720" w:hanging="720"/>
        <w:jc w:val="both"/>
        <w:rPr>
          <w:rFonts w:ascii="Arial" w:hAnsi="Arial"/>
          <w:b/>
          <w:bCs/>
          <w:rtl/>
        </w:rPr>
      </w:pPr>
      <w:r>
        <w:rPr>
          <w:rFonts w:ascii="Arial" w:hAnsi="Arial"/>
          <w:rtl/>
        </w:rPr>
        <w:tab/>
        <w:t>לבקשה צורפו</w:t>
      </w:r>
      <w:r>
        <w:rPr>
          <w:rFonts w:ascii="Arial" w:hAnsi="Arial" w:hint="cs"/>
          <w:rtl/>
        </w:rPr>
        <w:t xml:space="preserve"> 2</w:t>
      </w:r>
      <w:r w:rsidR="00474D84">
        <w:rPr>
          <w:rFonts w:ascii="Arial" w:hAnsi="Arial"/>
          <w:rtl/>
        </w:rPr>
        <w:t xml:space="preserve"> תלושי שכר ל</w:t>
      </w:r>
      <w:r w:rsidR="00E462BA">
        <w:rPr>
          <w:rFonts w:ascii="Arial" w:hAnsi="Arial" w:hint="cs"/>
          <w:rtl/>
        </w:rPr>
        <w:t>חו</w:t>
      </w:r>
      <w:r w:rsidR="00474D84">
        <w:rPr>
          <w:rFonts w:ascii="Arial" w:hAnsi="Arial"/>
          <w:rtl/>
        </w:rPr>
        <w:t>דש</w:t>
      </w:r>
      <w:r w:rsidR="00E462BA">
        <w:rPr>
          <w:rFonts w:ascii="Arial" w:hAnsi="Arial" w:hint="cs"/>
          <w:rtl/>
        </w:rPr>
        <w:t>ים</w:t>
      </w:r>
      <w:r w:rsidR="00474D84">
        <w:rPr>
          <w:rFonts w:ascii="Arial" w:hAnsi="Arial"/>
          <w:rtl/>
        </w:rPr>
        <w:t xml:space="preserve"> </w:t>
      </w:r>
      <w:r w:rsidR="00474D84">
        <w:rPr>
          <w:rFonts w:ascii="Arial" w:hAnsi="Arial" w:hint="cs"/>
          <w:rtl/>
        </w:rPr>
        <w:t xml:space="preserve">01/23 </w:t>
      </w:r>
      <w:r w:rsidR="00E462BA">
        <w:rPr>
          <w:rFonts w:ascii="Arial" w:hAnsi="Arial" w:hint="cs"/>
          <w:rtl/>
        </w:rPr>
        <w:t>,</w:t>
      </w:r>
      <w:r w:rsidR="00474D84">
        <w:rPr>
          <w:rFonts w:ascii="Arial" w:hAnsi="Arial"/>
          <w:rtl/>
        </w:rPr>
        <w:t xml:space="preserve"> </w:t>
      </w:r>
      <w:r w:rsidR="00474D84">
        <w:rPr>
          <w:rFonts w:ascii="Arial" w:hAnsi="Arial" w:hint="cs"/>
          <w:rtl/>
        </w:rPr>
        <w:t xml:space="preserve">02/23 </w:t>
      </w:r>
      <w:r w:rsidR="007679D1">
        <w:rPr>
          <w:rFonts w:ascii="Arial" w:hAnsi="Arial"/>
          <w:rtl/>
        </w:rPr>
        <w:t>מהם עולה כי הכנסתה ה</w:t>
      </w:r>
      <w:r w:rsidR="00474D84">
        <w:rPr>
          <w:rFonts w:ascii="Arial" w:hAnsi="Arial"/>
          <w:rtl/>
        </w:rPr>
        <w:t xml:space="preserve">ממוצעת עומדת על סך </w:t>
      </w:r>
      <w:r w:rsidR="00474D84">
        <w:rPr>
          <w:rFonts w:ascii="Arial" w:hAnsi="Arial" w:hint="cs"/>
          <w:rtl/>
        </w:rPr>
        <w:t>5750</w:t>
      </w:r>
      <w:r w:rsidR="007679D1">
        <w:rPr>
          <w:rFonts w:ascii="Arial" w:hAnsi="Arial"/>
          <w:rtl/>
        </w:rPr>
        <w:t xml:space="preserve"> נטו ₪ לחודש.</w:t>
      </w:r>
      <w:r w:rsidR="005905EB">
        <w:rPr>
          <w:rFonts w:ascii="Arial" w:hAnsi="Arial" w:hint="cs"/>
          <w:rtl/>
        </w:rPr>
        <w:t xml:space="preserve"> </w:t>
      </w:r>
      <w:r w:rsidR="00E462BA">
        <w:rPr>
          <w:rFonts w:ascii="Arial" w:hAnsi="Arial" w:hint="cs"/>
          <w:b/>
          <w:bCs/>
          <w:rtl/>
        </w:rPr>
        <w:t>המבקשת לא הסבירה מדוע לא צרפה 12 תלושי שכר, כפי המתחייב מהוראות התקנות.</w:t>
      </w:r>
    </w:p>
    <w:p w:rsidR="007679D1" w:rsidRDefault="007679D1" w:rsidP="00702C6F">
      <w:pPr>
        <w:spacing w:line="360" w:lineRule="auto"/>
        <w:ind w:left="720" w:hanging="720"/>
        <w:jc w:val="both"/>
        <w:rPr>
          <w:rFonts w:ascii="Arial" w:hAnsi="Arial"/>
          <w:rtl/>
        </w:rPr>
      </w:pPr>
    </w:p>
    <w:p w:rsidR="0096644A" w:rsidRDefault="00FF25C2" w:rsidP="00334BF6">
      <w:pPr>
        <w:spacing w:line="360" w:lineRule="auto"/>
        <w:ind w:left="720" w:hanging="720"/>
        <w:jc w:val="both"/>
        <w:rPr>
          <w:rFonts w:ascii="Arial" w:hAnsi="Arial"/>
          <w:rtl/>
        </w:rPr>
      </w:pPr>
      <w:r>
        <w:rPr>
          <w:rFonts w:ascii="Arial" w:hAnsi="Arial" w:hint="cs"/>
          <w:rtl/>
        </w:rPr>
        <w:lastRenderedPageBreak/>
        <w:t>5</w:t>
      </w:r>
      <w:r w:rsidR="00BE625F">
        <w:rPr>
          <w:rFonts w:ascii="Arial" w:hAnsi="Arial"/>
          <w:rtl/>
        </w:rPr>
        <w:t>.</w:t>
      </w:r>
      <w:r w:rsidR="00BE625F">
        <w:rPr>
          <w:rFonts w:ascii="Arial" w:hAnsi="Arial"/>
          <w:rtl/>
        </w:rPr>
        <w:tab/>
      </w:r>
      <w:r w:rsidR="00334BF6">
        <w:rPr>
          <w:rFonts w:ascii="Arial" w:hAnsi="Arial" w:hint="cs"/>
          <w:rtl/>
        </w:rPr>
        <w:t>המבקשת טוענת כי המשיב עובד ב*****</w:t>
      </w:r>
      <w:r w:rsidR="00E462BA">
        <w:rPr>
          <w:rFonts w:ascii="Arial" w:hAnsi="Arial" w:hint="cs"/>
          <w:rtl/>
        </w:rPr>
        <w:t xml:space="preserve">, משתכר שכר של 20,000  ₪ בחודש וכן לטענתה, יש להביא בחשבון גם את הכנסת רעייתו מנישואיו השניים, בסך 10,000 ₪ בחודש וסה"כ לטענתה, הכנסות המשיב 30,000 ₪ לחודש. </w:t>
      </w:r>
    </w:p>
    <w:p w:rsidR="00F83789" w:rsidRDefault="00FF25C2" w:rsidP="00E462BA">
      <w:pPr>
        <w:spacing w:line="360" w:lineRule="auto"/>
        <w:ind w:left="720" w:hanging="720"/>
        <w:jc w:val="both"/>
        <w:rPr>
          <w:rFonts w:ascii="Arial" w:hAnsi="Arial"/>
          <w:rtl/>
        </w:rPr>
      </w:pPr>
      <w:r>
        <w:rPr>
          <w:rFonts w:ascii="Arial" w:hAnsi="Arial" w:hint="cs"/>
          <w:rtl/>
        </w:rPr>
        <w:t>6</w:t>
      </w:r>
      <w:r w:rsidR="00FB7F9D">
        <w:rPr>
          <w:rFonts w:ascii="Arial" w:hAnsi="Arial"/>
          <w:rtl/>
        </w:rPr>
        <w:t>.</w:t>
      </w:r>
      <w:r w:rsidR="00FB7F9D">
        <w:rPr>
          <w:rFonts w:ascii="Arial" w:hAnsi="Arial"/>
          <w:rtl/>
        </w:rPr>
        <w:tab/>
      </w:r>
      <w:r w:rsidR="00E462BA">
        <w:rPr>
          <w:rFonts w:ascii="Arial" w:hAnsi="Arial" w:hint="cs"/>
          <w:rtl/>
        </w:rPr>
        <w:t xml:space="preserve">המשיב בתגובתו </w:t>
      </w:r>
      <w:r w:rsidR="00531CE3">
        <w:rPr>
          <w:rFonts w:ascii="Arial" w:hAnsi="Arial" w:hint="cs"/>
          <w:rtl/>
        </w:rPr>
        <w:t>מדגיש כי הבת הגדולה לא היתה קטינה בעת הגשת התובענה ולא בעת הגשת הבקשה לפסיקת מזונות זמניים. המשיב מדגיש כי הבת הגדולה לומרת באולפנה, לא תתגייס לצה"ל ועו</w:t>
      </w:r>
      <w:r w:rsidR="00334BF6">
        <w:rPr>
          <w:rFonts w:ascii="Arial" w:hAnsi="Arial" w:hint="cs"/>
          <w:rtl/>
        </w:rPr>
        <w:t>בדת לפרנסתה בסניף שופרסל ב******</w:t>
      </w:r>
      <w:r w:rsidR="00531CE3">
        <w:rPr>
          <w:rFonts w:ascii="Arial" w:hAnsi="Arial" w:hint="cs"/>
          <w:rtl/>
        </w:rPr>
        <w:t xml:space="preserve">. </w:t>
      </w:r>
    </w:p>
    <w:p w:rsidR="00531CE3" w:rsidRDefault="00531CE3" w:rsidP="00E462BA">
      <w:pPr>
        <w:spacing w:line="360" w:lineRule="auto"/>
        <w:ind w:left="720" w:hanging="720"/>
        <w:jc w:val="both"/>
        <w:rPr>
          <w:rFonts w:ascii="Arial" w:hAnsi="Arial"/>
          <w:rtl/>
        </w:rPr>
      </w:pPr>
      <w:r>
        <w:rPr>
          <w:rFonts w:ascii="Arial" w:hAnsi="Arial"/>
          <w:rtl/>
        </w:rPr>
        <w:tab/>
      </w:r>
      <w:r>
        <w:rPr>
          <w:rFonts w:ascii="Arial" w:hAnsi="Arial" w:hint="cs"/>
          <w:rtl/>
        </w:rPr>
        <w:t xml:space="preserve">המשיב בתגובתו טוען אף כי הבן אף הוא איננו קטין, עובד במלצרות ומשתכר שכר חודשי קבוע  וטרם הוכרע האם יתגייס לצה"ל או ילך ללמוד בישיבה. </w:t>
      </w:r>
    </w:p>
    <w:p w:rsidR="00531CE3" w:rsidRDefault="00F83789" w:rsidP="00531CE3">
      <w:pPr>
        <w:spacing w:line="360" w:lineRule="auto"/>
        <w:ind w:left="720" w:hanging="720"/>
        <w:jc w:val="both"/>
        <w:rPr>
          <w:rFonts w:ascii="Arial" w:hAnsi="Arial"/>
          <w:rtl/>
        </w:rPr>
      </w:pPr>
      <w:r>
        <w:rPr>
          <w:rFonts w:ascii="Arial" w:hAnsi="Arial"/>
          <w:rtl/>
        </w:rPr>
        <w:tab/>
      </w:r>
      <w:r>
        <w:rPr>
          <w:rFonts w:ascii="Arial" w:hAnsi="Arial" w:hint="cs"/>
          <w:rtl/>
        </w:rPr>
        <w:t>ע</w:t>
      </w:r>
      <w:r w:rsidR="00531CE3">
        <w:rPr>
          <w:rFonts w:ascii="Arial" w:hAnsi="Arial" w:hint="cs"/>
          <w:rtl/>
        </w:rPr>
        <w:t xml:space="preserve">וד טוען המשיב כי למעשה שתי הקטינות כלל אינן מתגוררת עם המבקשת,  אלא לומדות ומתגוררות באולפנה בתנאי פנימייה, יוצאות לביקורים אחת לשבועיים בסופי שבוע,  כאשר ביקור אחד שוהות אצל המבקשת וביקור אחד שוהות אצל המשיב. </w:t>
      </w:r>
    </w:p>
    <w:p w:rsidR="00531CE3" w:rsidRDefault="00531CE3" w:rsidP="00334BF6">
      <w:pPr>
        <w:spacing w:line="360" w:lineRule="auto"/>
        <w:ind w:left="720" w:hanging="720"/>
        <w:jc w:val="both"/>
        <w:rPr>
          <w:rFonts w:ascii="Arial" w:hAnsi="Arial"/>
          <w:rtl/>
        </w:rPr>
      </w:pPr>
      <w:r>
        <w:rPr>
          <w:rFonts w:ascii="Arial" w:hAnsi="Arial" w:hint="cs"/>
          <w:rtl/>
        </w:rPr>
        <w:t xml:space="preserve">7. </w:t>
      </w:r>
      <w:r>
        <w:rPr>
          <w:rFonts w:ascii="Arial" w:hAnsi="Arial" w:hint="cs"/>
          <w:rtl/>
        </w:rPr>
        <w:tab/>
        <w:t xml:space="preserve">המשיב מציין כי בנוסף הקטינות והבת הגדולה מגיעות לבקר אותו גם אחת לשבוע, ביום שלישי ומציין כי הקשר בינו ובין הבן </w:t>
      </w:r>
      <w:r w:rsidR="00334BF6">
        <w:rPr>
          <w:rFonts w:ascii="Arial" w:hAnsi="Arial" w:hint="cs"/>
          <w:rtl/>
        </w:rPr>
        <w:t>****</w:t>
      </w:r>
      <w:r>
        <w:rPr>
          <w:rFonts w:ascii="Arial" w:hAnsi="Arial" w:hint="cs"/>
          <w:rtl/>
        </w:rPr>
        <w:t>, איננו תקין בשל משקעי העבר.</w:t>
      </w:r>
    </w:p>
    <w:p w:rsidR="00F83789" w:rsidRDefault="00531CE3" w:rsidP="00531CE3">
      <w:pPr>
        <w:spacing w:line="360" w:lineRule="auto"/>
        <w:ind w:left="720"/>
        <w:jc w:val="both"/>
        <w:rPr>
          <w:rFonts w:ascii="Arial" w:hAnsi="Arial"/>
          <w:rtl/>
        </w:rPr>
      </w:pPr>
      <w:r>
        <w:rPr>
          <w:rFonts w:ascii="Arial" w:hAnsi="Arial" w:hint="cs"/>
          <w:rtl/>
        </w:rPr>
        <w:t xml:space="preserve">המשיב מוסיף וטוען כי </w:t>
      </w:r>
      <w:r w:rsidR="00334BF6">
        <w:rPr>
          <w:rFonts w:ascii="Arial" w:hAnsi="Arial" w:hint="cs"/>
          <w:rtl/>
        </w:rPr>
        <w:t>ל</w:t>
      </w:r>
      <w:r>
        <w:rPr>
          <w:rFonts w:ascii="Arial" w:hAnsi="Arial" w:hint="cs"/>
          <w:rtl/>
        </w:rPr>
        <w:t xml:space="preserve">מעשה מלוא הוצאות החינוך ויתר ההוצאות בגין הקטינות </w:t>
      </w:r>
      <w:r w:rsidR="00F83789">
        <w:rPr>
          <w:rFonts w:ascii="Arial" w:hAnsi="Arial" w:hint="cs"/>
          <w:rtl/>
        </w:rPr>
        <w:t>ממומנות ע"י המדינה.</w:t>
      </w:r>
    </w:p>
    <w:p w:rsidR="001A7C23" w:rsidRPr="00CE6FB9" w:rsidRDefault="00BA51A7" w:rsidP="00002A96">
      <w:pPr>
        <w:spacing w:line="360" w:lineRule="auto"/>
        <w:ind w:left="720" w:hanging="720"/>
        <w:jc w:val="both"/>
        <w:rPr>
          <w:rFonts w:ascii="Arial" w:hAnsi="Arial"/>
          <w:b/>
          <w:bCs/>
          <w:rtl/>
        </w:rPr>
      </w:pPr>
      <w:r>
        <w:rPr>
          <w:rFonts w:ascii="Arial" w:hAnsi="Arial" w:hint="cs"/>
          <w:rtl/>
        </w:rPr>
        <w:t>8</w:t>
      </w:r>
      <w:r w:rsidR="007679D1">
        <w:rPr>
          <w:rFonts w:ascii="Arial" w:hAnsi="Arial"/>
          <w:rtl/>
        </w:rPr>
        <w:t>.</w:t>
      </w:r>
      <w:r w:rsidR="007679D1">
        <w:rPr>
          <w:rFonts w:ascii="Arial" w:hAnsi="Arial"/>
          <w:rtl/>
        </w:rPr>
        <w:tab/>
      </w:r>
      <w:r w:rsidR="00531CE3">
        <w:rPr>
          <w:rFonts w:ascii="Arial" w:hAnsi="Arial" w:hint="cs"/>
          <w:rtl/>
        </w:rPr>
        <w:t xml:space="preserve">עוד טוען המשיב כי למעשה </w:t>
      </w:r>
      <w:r w:rsidR="00002A96">
        <w:rPr>
          <w:rFonts w:ascii="Arial" w:hAnsi="Arial" w:hint="cs"/>
          <w:rtl/>
        </w:rPr>
        <w:t xml:space="preserve">בתיק שהתנהל בפני כב' השופטת רות אטדגי פריאנטה נקבע כי יש למחוק את תביעת המזונות ולמעשה אין כנגדו פסק דין למזונות ולמרות זאת לאורך השנים העביר 3,000 ₪ לחודש לצורך השתתפות בהוצאות הילדים.  יוער כי בענין זה המבקשת בבקשתה מציינת כי תביעת המזונות אכן לטענתה "נסגרה" וכי במשך מספר חודשים לא שולמו המזונות ואז בחר המשיב כך לשון הבקשה, "בחוצפה עזה" לשלם 3,000 ₪ בחודש למזונות הילדים. </w:t>
      </w:r>
      <w:r w:rsidR="001A7C23" w:rsidRPr="005905EB">
        <w:rPr>
          <w:rFonts w:ascii="Arial" w:hAnsi="Arial" w:hint="cs"/>
          <w:b/>
          <w:bCs/>
          <w:rtl/>
        </w:rPr>
        <w:t xml:space="preserve"> </w:t>
      </w:r>
    </w:p>
    <w:p w:rsidR="007679D1" w:rsidRDefault="00BA51A7" w:rsidP="00702C6F">
      <w:pPr>
        <w:spacing w:line="360" w:lineRule="auto"/>
        <w:ind w:left="720" w:hanging="720"/>
        <w:jc w:val="both"/>
        <w:rPr>
          <w:rFonts w:ascii="Arial" w:hAnsi="Arial"/>
          <w:rtl/>
        </w:rPr>
      </w:pPr>
      <w:r>
        <w:rPr>
          <w:rFonts w:ascii="Arial" w:hAnsi="Arial" w:hint="cs"/>
          <w:rtl/>
        </w:rPr>
        <w:t>9</w:t>
      </w:r>
      <w:r w:rsidR="007679D1">
        <w:rPr>
          <w:rFonts w:ascii="Arial" w:hAnsi="Arial"/>
          <w:rtl/>
        </w:rPr>
        <w:t>.</w:t>
      </w:r>
      <w:r w:rsidR="007679D1">
        <w:rPr>
          <w:rFonts w:ascii="Arial" w:hAnsi="Arial"/>
          <w:rtl/>
        </w:rPr>
        <w:tab/>
        <w:t xml:space="preserve">הצדדים כולם הינם יהודים </w:t>
      </w:r>
      <w:r w:rsidR="00002A96">
        <w:rPr>
          <w:rtl/>
        </w:rPr>
        <w:t xml:space="preserve"> וחבות המשיב במזונות הקטי</w:t>
      </w:r>
      <w:r w:rsidR="00002A96">
        <w:rPr>
          <w:rFonts w:hint="cs"/>
          <w:rtl/>
        </w:rPr>
        <w:t>נים</w:t>
      </w:r>
      <w:r w:rsidR="007679D1">
        <w:rPr>
          <w:color w:val="FF0000"/>
          <w:rtl/>
        </w:rPr>
        <w:t xml:space="preserve"> </w:t>
      </w:r>
      <w:r w:rsidR="007679D1">
        <w:rPr>
          <w:rtl/>
        </w:rPr>
        <w:t>הינה עפ"י דינו האישי ועל פי תקנות הרבנות הראשית תש"ד ועל פי ההלכה שנקבעה ע"י בית המשפט העליון בבע"ם 919/15, פסק דין מיום 19.7.17 (פורסם בנבו).</w:t>
      </w:r>
    </w:p>
    <w:p w:rsidR="00002A96" w:rsidRDefault="00BA51A7" w:rsidP="001229A7">
      <w:pPr>
        <w:spacing w:line="360" w:lineRule="auto"/>
        <w:ind w:left="716" w:hanging="716"/>
        <w:jc w:val="both"/>
        <w:rPr>
          <w:rFonts w:ascii="Arial" w:hAnsi="Arial"/>
          <w:rtl/>
        </w:rPr>
      </w:pPr>
      <w:r>
        <w:rPr>
          <w:rFonts w:ascii="Arial" w:hAnsi="Arial" w:hint="cs"/>
          <w:rtl/>
        </w:rPr>
        <w:t>10.</w:t>
      </w:r>
      <w:r w:rsidR="007679D1">
        <w:rPr>
          <w:rFonts w:ascii="Arial" w:hAnsi="Arial"/>
          <w:rtl/>
        </w:rPr>
        <w:tab/>
      </w:r>
      <w:r w:rsidR="00002A96">
        <w:rPr>
          <w:rFonts w:ascii="Arial" w:hAnsi="Arial" w:hint="cs"/>
          <w:rtl/>
        </w:rPr>
        <w:t xml:space="preserve">מצאתי להדגיש כי יש להתפלא שאין זכר </w:t>
      </w:r>
      <w:r w:rsidR="001229A7">
        <w:rPr>
          <w:rFonts w:ascii="Arial" w:hAnsi="Arial" w:hint="cs"/>
          <w:rtl/>
        </w:rPr>
        <w:t xml:space="preserve">בבקשת האם, </w:t>
      </w:r>
      <w:r w:rsidR="00002A96">
        <w:rPr>
          <w:rFonts w:ascii="Arial" w:hAnsi="Arial" w:hint="cs"/>
          <w:rtl/>
        </w:rPr>
        <w:t>לעובדה ששתי הקטינות מתחנכות באולפנה בתנאי פנימייה. יתר על כן, האם מדגישה פעם אחר פעם כי ארבעת "הקטינים" הגם ששניים מהם כבר בגירים, מתגוררים עמה והיא נושאת בכל הוצאותיהם. גם לאחר שהוגשה תגובת האב, במסגרתה התייחסות לכך ששני הבגירים אינם קטינים ושניהם עובדים לפרנסתם, ושתי הקטינות מתגוררות במהלך ימות השבוע בפנימייה, לא הוגשה כל הבהרה מטעמה של המבקשת, תוך למעשה הסתרת נתונים מהותיים מבית המשפט.</w:t>
      </w:r>
    </w:p>
    <w:p w:rsidR="00002A96" w:rsidRDefault="00BA51A7" w:rsidP="00BA51A7">
      <w:pPr>
        <w:spacing w:line="360" w:lineRule="auto"/>
        <w:ind w:left="716" w:hanging="716"/>
        <w:jc w:val="both"/>
        <w:rPr>
          <w:rFonts w:ascii="Arial" w:hAnsi="Arial"/>
          <w:rtl/>
        </w:rPr>
      </w:pPr>
      <w:r>
        <w:rPr>
          <w:rFonts w:ascii="Arial" w:hAnsi="Arial" w:hint="cs"/>
          <w:rtl/>
        </w:rPr>
        <w:t xml:space="preserve">11. </w:t>
      </w:r>
      <w:r>
        <w:rPr>
          <w:rFonts w:ascii="Arial" w:hAnsi="Arial" w:hint="cs"/>
          <w:rtl/>
        </w:rPr>
        <w:tab/>
      </w:r>
      <w:r w:rsidR="00002A96">
        <w:rPr>
          <w:rFonts w:ascii="Arial" w:hAnsi="Arial" w:hint="cs"/>
          <w:rtl/>
        </w:rPr>
        <w:t xml:space="preserve">עוד מצאתי לציין כי בעוד שהמבקשת טרחה להדגיש בבקשתה כי לרשות המשיב יש גם את משכורתו וגם את משכורת רעייתו, הרי שביחס אליה, לא זו בלבד שאינה מציינת מה היקף </w:t>
      </w:r>
      <w:r w:rsidR="00002A96">
        <w:rPr>
          <w:rFonts w:ascii="Arial" w:hAnsi="Arial" w:hint="cs"/>
          <w:rtl/>
        </w:rPr>
        <w:lastRenderedPageBreak/>
        <w:t xml:space="preserve">השכר של בעלה, אלא מתעלמת מענין זה ואף בחרה שלא לצרף תלושי שכר שיש בהם כדי לשקף את היקף הכנסותיה. </w:t>
      </w:r>
    </w:p>
    <w:p w:rsidR="008A05CC" w:rsidRDefault="00BA51A7" w:rsidP="00BA51A7">
      <w:pPr>
        <w:spacing w:line="360" w:lineRule="auto"/>
        <w:ind w:left="716" w:hanging="716"/>
        <w:jc w:val="both"/>
        <w:rPr>
          <w:rFonts w:ascii="Arial" w:hAnsi="Arial"/>
          <w:rtl/>
        </w:rPr>
      </w:pPr>
      <w:r>
        <w:rPr>
          <w:rFonts w:ascii="Arial" w:hAnsi="Arial" w:hint="cs"/>
          <w:rtl/>
        </w:rPr>
        <w:t xml:space="preserve">12. </w:t>
      </w:r>
      <w:r>
        <w:rPr>
          <w:rFonts w:ascii="Arial" w:hAnsi="Arial"/>
          <w:rtl/>
        </w:rPr>
        <w:tab/>
      </w:r>
      <w:r w:rsidR="00002A96">
        <w:rPr>
          <w:rFonts w:ascii="Arial" w:hAnsi="Arial" w:hint="cs"/>
          <w:rtl/>
        </w:rPr>
        <w:t>עוד מובהר כי לאחר בחינת 14 תלושי שכר שהגיש המשיב, עולה כי הכנסתו איננה 20,000</w:t>
      </w:r>
      <w:r w:rsidR="008A05CC">
        <w:rPr>
          <w:rFonts w:ascii="Arial" w:hAnsi="Arial" w:hint="cs"/>
          <w:rtl/>
        </w:rPr>
        <w:t xml:space="preserve"> ₪ נטו לחודש כפי שטוענת המבקשת, אלא שכר נטו ממוצע של המשיב עומד על סך 11,000 ₪ לחודש.</w:t>
      </w:r>
    </w:p>
    <w:p w:rsidR="008A05CC" w:rsidRDefault="00BA51A7" w:rsidP="00BA51A7">
      <w:pPr>
        <w:spacing w:line="360" w:lineRule="auto"/>
        <w:ind w:left="716" w:hanging="716"/>
        <w:jc w:val="both"/>
        <w:rPr>
          <w:rFonts w:ascii="Arial" w:hAnsi="Arial"/>
          <w:rtl/>
        </w:rPr>
      </w:pPr>
      <w:r>
        <w:rPr>
          <w:rFonts w:ascii="Arial" w:hAnsi="Arial" w:hint="cs"/>
          <w:rtl/>
        </w:rPr>
        <w:t>13</w:t>
      </w:r>
      <w:r w:rsidR="008A05CC">
        <w:rPr>
          <w:rFonts w:ascii="Arial" w:hAnsi="Arial" w:hint="cs"/>
          <w:rtl/>
        </w:rPr>
        <w:t>.</w:t>
      </w:r>
      <w:r w:rsidR="008A05CC">
        <w:rPr>
          <w:rFonts w:ascii="Arial" w:hAnsi="Arial" w:hint="cs"/>
          <w:rtl/>
        </w:rPr>
        <w:tab/>
      </w:r>
      <w:r w:rsidR="008A05CC" w:rsidRPr="00CF4FD1">
        <w:rPr>
          <w:rFonts w:ascii="Arial" w:hAnsi="Arial" w:hint="cs"/>
          <w:b/>
          <w:bCs/>
          <w:u w:val="single"/>
          <w:rtl/>
        </w:rPr>
        <w:t>סבורני כי בנסיבות הענין, שעה שעסקינן בבקשה שנפלו בה פגמים רבים, ערוכה בצורה מטעה, תוך הסתרת נתונים מבית המשפט, אין מקום לפסוק מזונות זמניים, שכן רב הנסתר על הגלוי ועולה כי למעשה שני הילדים הבגירים ככל הנראה עובדים למחייתם, ואף לא ברור האם כלל מתגוררים עם אמם. עוד עולה כי ככל הנראה אף שתי הקטינות מתגוררות בפנימייה ובחופשות מהפנימייה שוהות בחלוקת זמנים שווה בין בתי ההורים.</w:t>
      </w:r>
      <w:r w:rsidR="008A05CC">
        <w:rPr>
          <w:rFonts w:ascii="Arial" w:hAnsi="Arial" w:hint="cs"/>
          <w:rtl/>
        </w:rPr>
        <w:t xml:space="preserve"> </w:t>
      </w:r>
    </w:p>
    <w:p w:rsidR="008A05CC" w:rsidRPr="00CF4FD1" w:rsidRDefault="00BA51A7" w:rsidP="00CF4FD1">
      <w:pPr>
        <w:spacing w:line="360" w:lineRule="auto"/>
        <w:ind w:left="716" w:hanging="716"/>
        <w:jc w:val="both"/>
        <w:rPr>
          <w:rFonts w:ascii="Arial" w:hAnsi="Arial"/>
          <w:b/>
          <w:bCs/>
          <w:rtl/>
        </w:rPr>
      </w:pPr>
      <w:r>
        <w:rPr>
          <w:rFonts w:ascii="Arial" w:hAnsi="Arial" w:hint="cs"/>
          <w:rtl/>
        </w:rPr>
        <w:t>14</w:t>
      </w:r>
      <w:r w:rsidR="008A05CC">
        <w:rPr>
          <w:rFonts w:ascii="Arial" w:hAnsi="Arial" w:hint="cs"/>
          <w:rtl/>
        </w:rPr>
        <w:t>.</w:t>
      </w:r>
      <w:r w:rsidR="008A05CC">
        <w:rPr>
          <w:rFonts w:ascii="Arial" w:hAnsi="Arial" w:hint="cs"/>
          <w:rtl/>
        </w:rPr>
        <w:tab/>
      </w:r>
      <w:r w:rsidR="008A05CC">
        <w:rPr>
          <w:rFonts w:ascii="Arial" w:hAnsi="Arial" w:hint="cs"/>
          <w:rtl/>
        </w:rPr>
        <w:tab/>
      </w:r>
      <w:r w:rsidR="00CF4FD1" w:rsidRPr="00CF4FD1">
        <w:rPr>
          <w:rFonts w:ascii="Arial" w:hAnsi="Arial" w:hint="cs"/>
          <w:b/>
          <w:bCs/>
          <w:rtl/>
        </w:rPr>
        <w:t xml:space="preserve">על אף האמור, אני מוצאת לפסוק נכון לעת הזו, כי האב ישלם בגין כל אחד מארבעת הילדים סכום של 500 ₪ לחודש וסה"כ 2,000 ₪ להשתתפות בהוצאות הילדים. סכום זה ישולם החל מיום 15.7.2024 ובכל 15 לחודש קלנדרי. </w:t>
      </w:r>
    </w:p>
    <w:p w:rsidR="00BA51A7" w:rsidRDefault="00CF4FD1" w:rsidP="00CF4FD1">
      <w:pPr>
        <w:spacing w:line="360" w:lineRule="auto"/>
        <w:ind w:left="716" w:hanging="716"/>
        <w:jc w:val="both"/>
        <w:rPr>
          <w:rFonts w:ascii="Arial" w:hAnsi="Arial"/>
          <w:rtl/>
        </w:rPr>
      </w:pPr>
      <w:r>
        <w:rPr>
          <w:rFonts w:ascii="Arial" w:hAnsi="Arial" w:hint="cs"/>
          <w:rtl/>
        </w:rPr>
        <w:t>15</w:t>
      </w:r>
      <w:r w:rsidR="00BA51A7">
        <w:rPr>
          <w:rFonts w:ascii="Arial" w:hAnsi="Arial" w:hint="cs"/>
          <w:rtl/>
        </w:rPr>
        <w:t xml:space="preserve">.     </w:t>
      </w:r>
      <w:r w:rsidR="00BA51A7">
        <w:rPr>
          <w:rFonts w:ascii="Arial" w:hAnsi="Arial"/>
          <w:rtl/>
        </w:rPr>
        <w:tab/>
      </w:r>
      <w:r>
        <w:rPr>
          <w:rFonts w:ascii="Arial" w:hAnsi="Arial" w:hint="cs"/>
          <w:rtl/>
        </w:rPr>
        <w:t>בנוסף,</w:t>
      </w:r>
      <w:r w:rsidR="00BA51A7">
        <w:rPr>
          <w:rFonts w:ascii="Arial" w:hAnsi="Arial" w:hint="cs"/>
          <w:rtl/>
        </w:rPr>
        <w:t xml:space="preserve"> מצאתי לקבוע כי ההורים יחלקו בחלקים שווים בהוצאות חינוך ורפואה של הבנות הקטינות.</w:t>
      </w:r>
    </w:p>
    <w:p w:rsidR="007679D1" w:rsidRDefault="00CF4FD1" w:rsidP="00CF4FD1">
      <w:pPr>
        <w:autoSpaceDE w:val="0"/>
        <w:autoSpaceDN w:val="0"/>
        <w:adjustRightInd w:val="0"/>
        <w:spacing w:line="360" w:lineRule="auto"/>
        <w:jc w:val="both"/>
        <w:rPr>
          <w:rtl/>
        </w:rPr>
      </w:pPr>
      <w:r>
        <w:rPr>
          <w:rFonts w:hint="cs"/>
          <w:rtl/>
        </w:rPr>
        <w:t>16</w:t>
      </w:r>
      <w:r w:rsidR="00BA51A7">
        <w:rPr>
          <w:rFonts w:hint="cs"/>
          <w:rtl/>
        </w:rPr>
        <w:t xml:space="preserve">. </w:t>
      </w:r>
      <w:r w:rsidR="00BA51A7">
        <w:rPr>
          <w:rtl/>
        </w:rPr>
        <w:tab/>
      </w:r>
      <w:r w:rsidR="007679D1">
        <w:rPr>
          <w:rtl/>
        </w:rPr>
        <w:t>קצבת</w:t>
      </w:r>
      <w:r w:rsidR="007679D1">
        <w:rPr>
          <w:rFonts w:hint="cs"/>
        </w:rPr>
        <w:t xml:space="preserve"> </w:t>
      </w:r>
      <w:r w:rsidR="007679D1">
        <w:rPr>
          <w:rtl/>
        </w:rPr>
        <w:t>הילדים</w:t>
      </w:r>
      <w:r w:rsidR="007679D1">
        <w:rPr>
          <w:rFonts w:hint="cs"/>
        </w:rPr>
        <w:t xml:space="preserve"> </w:t>
      </w:r>
      <w:r w:rsidR="007679D1">
        <w:rPr>
          <w:rtl/>
        </w:rPr>
        <w:t>של</w:t>
      </w:r>
      <w:r w:rsidR="007679D1">
        <w:rPr>
          <w:rFonts w:hint="cs"/>
        </w:rPr>
        <w:t xml:space="preserve"> </w:t>
      </w:r>
      <w:r w:rsidR="007679D1">
        <w:rPr>
          <w:rtl/>
        </w:rPr>
        <w:t>המל</w:t>
      </w:r>
      <w:r w:rsidR="007679D1">
        <w:t>"</w:t>
      </w:r>
      <w:r w:rsidR="007679D1">
        <w:rPr>
          <w:rtl/>
        </w:rPr>
        <w:t>ל</w:t>
      </w:r>
      <w:r w:rsidR="007679D1">
        <w:rPr>
          <w:rFonts w:hint="cs"/>
        </w:rPr>
        <w:t xml:space="preserve"> </w:t>
      </w:r>
      <w:r w:rsidR="00BA51A7">
        <w:rPr>
          <w:rtl/>
        </w:rPr>
        <w:t>עבור הקט</w:t>
      </w:r>
      <w:r w:rsidR="00BA51A7">
        <w:rPr>
          <w:rFonts w:hint="cs"/>
          <w:rtl/>
        </w:rPr>
        <w:t xml:space="preserve">ינות </w:t>
      </w:r>
      <w:r w:rsidR="007679D1">
        <w:rPr>
          <w:rtl/>
        </w:rPr>
        <w:t>תשולם</w:t>
      </w:r>
      <w:r>
        <w:rPr>
          <w:rFonts w:hint="cs"/>
          <w:rtl/>
        </w:rPr>
        <w:t xml:space="preserve"> אף היא בנוסף, </w:t>
      </w:r>
      <w:r w:rsidR="007679D1">
        <w:rPr>
          <w:rFonts w:hint="cs"/>
        </w:rPr>
        <w:t xml:space="preserve"> </w:t>
      </w:r>
      <w:r w:rsidR="007679D1">
        <w:rPr>
          <w:rtl/>
        </w:rPr>
        <w:t>לידי</w:t>
      </w:r>
      <w:r w:rsidR="007679D1">
        <w:rPr>
          <w:rFonts w:hint="cs"/>
        </w:rPr>
        <w:t xml:space="preserve"> </w:t>
      </w:r>
      <w:r w:rsidR="007679D1">
        <w:rPr>
          <w:rtl/>
        </w:rPr>
        <w:t>האם</w:t>
      </w:r>
      <w:r w:rsidR="007679D1">
        <w:rPr>
          <w:rFonts w:hint="cs"/>
        </w:rPr>
        <w:t xml:space="preserve"> </w:t>
      </w:r>
      <w:r w:rsidR="00BA51A7">
        <w:rPr>
          <w:rFonts w:hint="cs"/>
          <w:rtl/>
        </w:rPr>
        <w:t>.</w:t>
      </w:r>
    </w:p>
    <w:p w:rsidR="00BA51A7" w:rsidRDefault="00CF4FD1" w:rsidP="00BA51A7">
      <w:pPr>
        <w:autoSpaceDE w:val="0"/>
        <w:autoSpaceDN w:val="0"/>
        <w:adjustRightInd w:val="0"/>
        <w:spacing w:line="360" w:lineRule="auto"/>
        <w:jc w:val="both"/>
        <w:rPr>
          <w:rtl/>
        </w:rPr>
      </w:pPr>
      <w:r>
        <w:rPr>
          <w:rFonts w:hint="cs"/>
          <w:rtl/>
        </w:rPr>
        <w:t>17</w:t>
      </w:r>
      <w:r w:rsidR="00BA51A7">
        <w:rPr>
          <w:rFonts w:hint="cs"/>
          <w:rtl/>
        </w:rPr>
        <w:t>.</w:t>
      </w:r>
      <w:r w:rsidR="00BA51A7">
        <w:rPr>
          <w:rtl/>
        </w:rPr>
        <w:tab/>
      </w:r>
      <w:r w:rsidR="00BA51A7">
        <w:rPr>
          <w:rFonts w:hint="cs"/>
          <w:rtl/>
        </w:rPr>
        <w:t>התובענה נקבעת לקדם משפט נוסף ליום 9.10.2024 בשעה 11:00.</w:t>
      </w:r>
    </w:p>
    <w:p w:rsidR="00CF4FD1" w:rsidRDefault="00CF4FD1" w:rsidP="00CF4FD1">
      <w:pPr>
        <w:autoSpaceDE w:val="0"/>
        <w:autoSpaceDN w:val="0"/>
        <w:adjustRightInd w:val="0"/>
        <w:spacing w:line="360" w:lineRule="auto"/>
        <w:ind w:left="720"/>
        <w:jc w:val="both"/>
        <w:rPr>
          <w:rtl/>
        </w:rPr>
      </w:pPr>
      <w:r>
        <w:rPr>
          <w:rFonts w:hint="cs"/>
          <w:rtl/>
        </w:rPr>
        <w:t>עד ליום 10.9.2024 יגיש כל אחד מהצדדים הרצאת פרטים מעודכנת, אליה יצרף אישורים בדבר הכנסותיו מכל מקור שהוא, בהתאם להוראות התקנות.</w:t>
      </w:r>
    </w:p>
    <w:p w:rsidR="00BA51A7" w:rsidRPr="00A07AC2" w:rsidRDefault="00CF4FD1" w:rsidP="00BA51A7">
      <w:pPr>
        <w:autoSpaceDE w:val="0"/>
        <w:autoSpaceDN w:val="0"/>
        <w:adjustRightInd w:val="0"/>
        <w:spacing w:line="360" w:lineRule="auto"/>
        <w:jc w:val="both"/>
        <w:rPr>
          <w:u w:val="single"/>
        </w:rPr>
      </w:pPr>
      <w:r>
        <w:rPr>
          <w:rFonts w:hint="cs"/>
          <w:rtl/>
        </w:rPr>
        <w:t>18</w:t>
      </w:r>
      <w:r w:rsidR="00BA51A7">
        <w:rPr>
          <w:rFonts w:hint="cs"/>
          <w:rtl/>
        </w:rPr>
        <w:t xml:space="preserve">. </w:t>
      </w:r>
      <w:r w:rsidR="00BA51A7">
        <w:rPr>
          <w:rtl/>
        </w:rPr>
        <w:tab/>
      </w:r>
      <w:r w:rsidR="00BA51A7">
        <w:rPr>
          <w:rFonts w:hint="cs"/>
          <w:rtl/>
        </w:rPr>
        <w:t>המזכירות תשלח ההחלטה לבאי כח הצדדים.</w:t>
      </w:r>
    </w:p>
    <w:p w:rsidR="007679D1" w:rsidRDefault="00CF4FD1" w:rsidP="00CF4FD1">
      <w:pPr>
        <w:autoSpaceDE w:val="0"/>
        <w:autoSpaceDN w:val="0"/>
        <w:adjustRightInd w:val="0"/>
        <w:spacing w:line="360" w:lineRule="auto"/>
        <w:ind w:left="720" w:hanging="720"/>
        <w:jc w:val="both"/>
        <w:rPr>
          <w:u w:val="single"/>
          <w:rtl/>
        </w:rPr>
      </w:pPr>
      <w:r>
        <w:rPr>
          <w:rFonts w:hint="cs"/>
          <w:rtl/>
        </w:rPr>
        <w:t>19</w:t>
      </w:r>
      <w:r w:rsidR="00A07AC2" w:rsidRPr="00A07AC2">
        <w:rPr>
          <w:rtl/>
        </w:rPr>
        <w:t>.</w:t>
      </w:r>
      <w:r>
        <w:rPr>
          <w:rtl/>
        </w:rPr>
        <w:tab/>
      </w:r>
      <w:r w:rsidR="007679D1" w:rsidRPr="00A07AC2">
        <w:rPr>
          <w:rtl/>
        </w:rPr>
        <w:t>המזכירות</w:t>
      </w:r>
      <w:r w:rsidR="007679D1">
        <w:rPr>
          <w:rFonts w:hint="cs"/>
        </w:rPr>
        <w:t xml:space="preserve"> </w:t>
      </w:r>
      <w:r>
        <w:rPr>
          <w:rtl/>
        </w:rPr>
        <w:t>תש</w:t>
      </w:r>
      <w:r>
        <w:rPr>
          <w:rFonts w:hint="cs"/>
          <w:rtl/>
        </w:rPr>
        <w:t>לח</w:t>
      </w:r>
      <w:r w:rsidR="007679D1">
        <w:rPr>
          <w:rFonts w:hint="cs"/>
        </w:rPr>
        <w:t xml:space="preserve"> </w:t>
      </w:r>
      <w:r w:rsidR="007679D1">
        <w:rPr>
          <w:rtl/>
        </w:rPr>
        <w:t>העתק</w:t>
      </w:r>
      <w:r w:rsidR="007679D1">
        <w:rPr>
          <w:rFonts w:hint="cs"/>
        </w:rPr>
        <w:t xml:space="preserve"> </w:t>
      </w:r>
      <w:r w:rsidR="007679D1">
        <w:rPr>
          <w:rtl/>
        </w:rPr>
        <w:t>ההחלטה</w:t>
      </w:r>
      <w:r w:rsidR="007679D1">
        <w:rPr>
          <w:rFonts w:hint="cs"/>
        </w:rPr>
        <w:t xml:space="preserve"> </w:t>
      </w:r>
      <w:r w:rsidR="007679D1">
        <w:rPr>
          <w:rtl/>
        </w:rPr>
        <w:t>לב</w:t>
      </w:r>
      <w:r w:rsidR="007679D1">
        <w:t>"</w:t>
      </w:r>
      <w:r w:rsidR="007679D1">
        <w:rPr>
          <w:rtl/>
        </w:rPr>
        <w:t>כ</w:t>
      </w:r>
      <w:r w:rsidR="007679D1">
        <w:rPr>
          <w:rFonts w:hint="cs"/>
        </w:rPr>
        <w:t xml:space="preserve"> </w:t>
      </w:r>
      <w:r w:rsidR="007679D1">
        <w:rPr>
          <w:rtl/>
        </w:rPr>
        <w:t>הצדדים ותסגור הבקשה</w:t>
      </w:r>
      <w:r w:rsidR="007679D1">
        <w:t>.</w:t>
      </w:r>
    </w:p>
    <w:p w:rsidR="00CF4FD1" w:rsidRPr="00CF4FD1" w:rsidRDefault="00CF4FD1" w:rsidP="00CF4FD1">
      <w:pPr>
        <w:autoSpaceDE w:val="0"/>
        <w:autoSpaceDN w:val="0"/>
        <w:adjustRightInd w:val="0"/>
        <w:spacing w:line="360" w:lineRule="auto"/>
        <w:ind w:left="720" w:hanging="720"/>
        <w:jc w:val="both"/>
        <w:rPr>
          <w:rtl/>
        </w:rPr>
      </w:pPr>
      <w:r>
        <w:rPr>
          <w:rtl/>
        </w:rPr>
        <w:tab/>
      </w:r>
      <w:r>
        <w:rPr>
          <w:rFonts w:hint="cs"/>
          <w:rtl/>
        </w:rPr>
        <w:t xml:space="preserve">מתירה העברה למאגרי פסיקה בהשמטת פרטים מזהים.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יולי 2024</w:t>
          </w:r>
        </w:sdtContent>
      </w:sdt>
      <w:r w:rsidR="00005C8B">
        <w:rPr>
          <w:rFonts w:ascii="Arial" w:hAnsi="Arial"/>
          <w:noProof w:val="0"/>
          <w:rtl/>
        </w:rPr>
        <w:t>, בהעדר הצדדים.</w:t>
      </w:r>
    </w:p>
    <w:p w:rsidR="00C43648" w:rsidRDefault="00740DE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88658068"/>
        </w:sdtPr>
        <w:sdtEndPr/>
        <w:sdtContent>
          <w:r w:rsidR="000B46B9">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DE8" w:rsidRDefault="00740DE8">
      <w:r>
        <w:separator/>
      </w:r>
    </w:p>
  </w:endnote>
  <w:endnote w:type="continuationSeparator" w:id="0">
    <w:p w:rsidR="00740DE8" w:rsidRDefault="0074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607C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607C9">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DE8" w:rsidRDefault="00740DE8">
      <w:r>
        <w:separator/>
      </w:r>
    </w:p>
  </w:footnote>
  <w:footnote w:type="continuationSeparator" w:id="0">
    <w:p w:rsidR="00740DE8" w:rsidRDefault="00740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40DE8" w:rsidP="00334BF6">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14550-07-23</w:t>
              </w:r>
            </w:sdtContent>
          </w:sdt>
          <w:r w:rsidR="00005C8B">
            <w:rPr>
              <w:b/>
              <w:bCs/>
              <w:noProof w:val="0"/>
              <w:sz w:val="26"/>
              <w:szCs w:val="26"/>
              <w:rtl/>
            </w:rPr>
            <w:t xml:space="preserve"> </w:t>
          </w:r>
          <w:sdt>
            <w:sdtPr>
              <w:rPr>
                <w:rtl/>
              </w:rPr>
              <w:alias w:val="1172"/>
              <w:tag w:val="1172"/>
              <w:id w:val="-595170033"/>
              <w:text w:multiLine="1"/>
            </w:sdtPr>
            <w:sdtEndPr/>
            <w:sdtContent>
              <w:r w:rsidR="00334BF6">
                <w:rPr>
                  <w:rFonts w:hint="cs"/>
                  <w:b/>
                  <w:bCs/>
                  <w:noProof w:val="0"/>
                  <w:sz w:val="26"/>
                  <w:szCs w:val="26"/>
                  <w:rtl/>
                </w:rPr>
                <w:t>פלונית</w:t>
              </w:r>
              <w:r w:rsidR="00064651">
                <w:rPr>
                  <w:b/>
                  <w:bCs/>
                  <w:noProof w:val="0"/>
                  <w:sz w:val="26"/>
                  <w:szCs w:val="26"/>
                  <w:rtl/>
                </w:rPr>
                <w:t xml:space="preserve"> נ' </w:t>
              </w:r>
              <w:r w:rsidR="00334BF6">
                <w:rPr>
                  <w:rFonts w:hint="cs"/>
                  <w:b/>
                  <w:bCs/>
                  <w:noProof w:val="0"/>
                  <w:sz w:val="26"/>
                  <w:szCs w:val="26"/>
                  <w:rtl/>
                </w:rPr>
                <w:t>פלוני</w:t>
              </w:r>
            </w:sdtContent>
          </w:sdt>
        </w:p>
        <w:p w:rsidR="007D45E3" w:rsidRPr="007B7765" w:rsidRDefault="007D45E3" w:rsidP="007D45E3">
          <w:pPr>
            <w:rPr>
              <w:b/>
              <w:bCs/>
              <w:noProof w:val="0"/>
              <w:sz w:val="2"/>
              <w:szCs w:val="2"/>
              <w:rtl/>
            </w:rPr>
          </w:pPr>
        </w:p>
        <w:p w:rsidR="008D10B2" w:rsidRPr="00E1068A" w:rsidRDefault="007D45E3" w:rsidP="00227231">
          <w:pPr>
            <w:rPr>
              <w:sz w:val="20"/>
              <w:szCs w:val="20"/>
              <w:rtl/>
            </w:rPr>
          </w:pPr>
          <w:r>
            <w:rPr>
              <w:rFonts w:hint="cs"/>
              <w:rtl/>
            </w:rPr>
            <w:t xml:space="preserve">                           </w:t>
          </w:r>
          <w:r>
            <w:rPr>
              <w:rFonts w:hint="cs"/>
              <w:sz w:val="20"/>
              <w:szCs w:val="20"/>
              <w:rtl/>
            </w:rPr>
            <w:t xml:space="preserve">       </w:t>
          </w:r>
          <w:r w:rsidR="00227231">
            <w:rPr>
              <w:rFonts w:hint="cs"/>
              <w:sz w:val="20"/>
              <w:szCs w:val="20"/>
              <w:rtl/>
            </w:rPr>
            <w:t xml:space="preserve">                               </w:t>
          </w: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066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06688&amp;lt;/CaseID&amp;gt;_x000d__x000a_        &amp;lt;CaseMonth&amp;gt;7&amp;lt;/CaseMonth&amp;gt;_x000d__x000a_        &amp;lt;CaseYear&amp;gt;2023&amp;lt;/CaseYear&amp;gt;_x000d__x000a_        &amp;lt;CaseNumber&amp;gt;14550&amp;lt;/CaseNumber&amp;gt;_x000d__x000a_        &amp;lt;NumeratorGroupID&amp;gt;1&amp;lt;/NumeratorGroupID&amp;gt;_x000d__x000a_        &amp;lt;CaseName&amp;gt;שקיר נ&amp;#39; אלחיאני&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550-07-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7-06T11:38: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06688&amp;lt;/CaseID&amp;gt;_x000d__x000a_        &amp;lt;CaseMonth&amp;gt;7&amp;lt;/CaseMonth&amp;gt;_x000d__x000a_        &amp;lt;CaseYear&amp;gt;2023&amp;lt;/CaseYear&amp;gt;_x000d__x000a_        &amp;lt;CaseNumber&amp;gt;14550&amp;lt;/CaseNumber&amp;gt;_x000d__x000a_        &amp;lt;NumeratorGroupID&amp;gt;1&amp;lt;/NumeratorGroupID&amp;gt;_x000d__x000a_        &amp;lt;CaseName&amp;gt;שקיר נ&amp;#39; אלחיאני&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550-07-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3-07-06T11:38: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30039&amp;lt;/DecisionID&amp;gt;_x000d__x000a_        &amp;lt;DecisionNumber&amp;gt;3&amp;lt;/DecisionNumber&amp;gt;_x000d__x000a_        &amp;lt;DecisionName&amp;gt;החלטה על בקשה של תובע 1 מזונות זמניים &amp;lt;/DecisionName&amp;gt;_x000d__x000a_        &amp;lt;DecisionStatusID&amp;gt;1&amp;lt;/DecisionStatusID&amp;gt;_x000d__x000a_        &amp;lt;DecisionStatusChangeDate&amp;gt;2024-07-09T10:30:04.513+03:00&amp;lt;/DecisionStatusChangeDate&amp;gt;_x000d__x000a_        &amp;lt;DecisionSignatureDate&amp;gt;2024-07-09T10:30:02.47+03:00&amp;lt;/DecisionSignatureDate&amp;gt;_x000d__x000a_        &amp;lt;DecisionSignatureUserID&amp;gt;025596065@GOV.IL&amp;lt;/DecisionSignatureUserID&amp;gt;_x000d__x000a_        &amp;lt;DecisionCreateDate&amp;gt;2024-07-08T16:31:36.363+03:00&amp;lt;/DecisionCreateDate&amp;gt;_x000d__x000a_        &amp;lt;DecisionChangeDate&amp;gt;2024-07-09T10:30:04.627+03:00&amp;lt;/DecisionChangeDate&amp;gt;_x000d__x000a_        &amp;lt;DecisionChangeUserID&amp;gt;20733767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18729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7337676@GOV.IL&amp;lt;/DecisionCreationUserID&amp;gt;_x000d__x000a_        &amp;lt;DecisionDisplayName&amp;gt;החלטה על בקשה של תובע 1 מזונות זמניים &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2730039&amp;lt;/DecisionID&amp;gt;_x000d__x000a_        &amp;lt;CaseID&amp;gt;80406688&amp;lt;/CaseID&amp;gt;_x000d__x000a_        &amp;lt;IsOriginal&amp;gt;true&amp;lt;/IsOriginal&amp;gt;_x000d__x000a_        &amp;lt;IsDeleted&amp;gt;false&amp;lt;/IsDeleted&amp;gt;_x000d__x000a_        &amp;lt;CaseName&amp;gt;שקיר נ&amp;#39; אלחיאני&amp;lt;/CaseName&amp;gt;_x000d__x000a_        &amp;lt;CaseDisplayIdentifier&amp;gt;14550-07-23 תלה&amp;quot;מ&amp;lt;/CaseDisplayIdentifier&amp;gt;_x000d__x000a_      &amp;lt;/dt_DecisionCase&amp;gt;_x000d__x000a_      &amp;lt;dt_DecisionMotion diffgr:id=&amp;quot;dt_DecisionMotion1&amp;quot; msdata:rowOrder=&amp;quot;0&amp;quot;&amp;gt;_x000d__x000a_        &amp;lt;DecisionID&amp;gt;152730039&amp;lt;/DecisionID&amp;gt;_x000d__x000a_        &amp;lt;MotionID&amp;gt;108264411&amp;lt;/MotionID&amp;gt;_x000d__x000a_        &amp;lt;IsOriginalMotion&amp;gt;true&amp;lt;/IsOriginalMotion&amp;gt;_x000d__x000a_        &amp;lt;MotionName&amp;gt;בקשה של תובע 1 מזונות זמניים &amp;lt;/MotionName&amp;gt;_x000d__x000a_        &amp;lt;MotionOpenDate&amp;gt;2024-06-16T09:17:36.5+03:00&amp;lt;/MotionOpenDate&amp;gt;_x000d__x000a_        &amp;lt;CaseID&amp;gt;80406688&amp;lt;/CaseID&amp;gt;_x000d__x000a_        &amp;lt;CaseDisplayIdentifier&amp;gt;14550-07-23 תלה&amp;quot;מ&amp;lt;/CaseDisplayIdentifier&amp;gt;_x000d__x000a_        &amp;lt;ProcessNumber&amp;gt;3&amp;lt;/ProcessNumber&amp;gt;_x000d__x000a_        &amp;lt;ListOfProcessIds&amp;gt;3&amp;lt;/ListOfProcessIds&amp;gt;_x000d__x000a_      &amp;lt;/dt_DecisionMotion&amp;gt;_x000d__x000a_    &amp;lt;/DecisionDS&amp;gt;_x000d__x000a_  &amp;lt;/diffgr:diffgram&amp;gt;_x000d__x000a_&amp;lt;/DecisionDS&amp;gt;"/>
    <w:docVar w:name="DecisionID" w:val="152730039"/>
    <w:docVar w:name="WordClientAssemblyName" w:val="NGCS.Decision.ClientWordBL"/>
    <w:docVar w:name="WordClientClassName" w:val="NGCS.Decision.ClientWordBL.DecisionClient"/>
  </w:docVars>
  <w:rsids>
    <w:rsidRoot w:val="00694556"/>
    <w:rsid w:val="00000062"/>
    <w:rsid w:val="0000226B"/>
    <w:rsid w:val="00002A96"/>
    <w:rsid w:val="00005C8B"/>
    <w:rsid w:val="00013ED0"/>
    <w:rsid w:val="000229A1"/>
    <w:rsid w:val="00035399"/>
    <w:rsid w:val="000529D2"/>
    <w:rsid w:val="000564AB"/>
    <w:rsid w:val="00064651"/>
    <w:rsid w:val="00064FBD"/>
    <w:rsid w:val="00082AB2"/>
    <w:rsid w:val="000906FE"/>
    <w:rsid w:val="00096AF7"/>
    <w:rsid w:val="000B344B"/>
    <w:rsid w:val="000B46B9"/>
    <w:rsid w:val="000C3B0F"/>
    <w:rsid w:val="000C3B60"/>
    <w:rsid w:val="000E0DD2"/>
    <w:rsid w:val="000E3AF1"/>
    <w:rsid w:val="000F0BC8"/>
    <w:rsid w:val="000F0DD6"/>
    <w:rsid w:val="00107E6D"/>
    <w:rsid w:val="0011194C"/>
    <w:rsid w:val="0011424C"/>
    <w:rsid w:val="001173C6"/>
    <w:rsid w:val="001229A7"/>
    <w:rsid w:val="001367BC"/>
    <w:rsid w:val="00144D2A"/>
    <w:rsid w:val="0014653E"/>
    <w:rsid w:val="001526D0"/>
    <w:rsid w:val="00180519"/>
    <w:rsid w:val="00191C82"/>
    <w:rsid w:val="001A7C23"/>
    <w:rsid w:val="001C4003"/>
    <w:rsid w:val="001D4DBF"/>
    <w:rsid w:val="001E75CA"/>
    <w:rsid w:val="002265FF"/>
    <w:rsid w:val="00227231"/>
    <w:rsid w:val="00234943"/>
    <w:rsid w:val="00271B56"/>
    <w:rsid w:val="0028443A"/>
    <w:rsid w:val="002C344E"/>
    <w:rsid w:val="002C3F4A"/>
    <w:rsid w:val="002E455D"/>
    <w:rsid w:val="002E75E9"/>
    <w:rsid w:val="00307A6A"/>
    <w:rsid w:val="00307C40"/>
    <w:rsid w:val="00320433"/>
    <w:rsid w:val="003230C7"/>
    <w:rsid w:val="00327E50"/>
    <w:rsid w:val="00334BF6"/>
    <w:rsid w:val="0033597A"/>
    <w:rsid w:val="00343D89"/>
    <w:rsid w:val="0035116A"/>
    <w:rsid w:val="00362612"/>
    <w:rsid w:val="0036743F"/>
    <w:rsid w:val="003715DD"/>
    <w:rsid w:val="003823E0"/>
    <w:rsid w:val="003A4521"/>
    <w:rsid w:val="003D1C8C"/>
    <w:rsid w:val="0040096C"/>
    <w:rsid w:val="00412F59"/>
    <w:rsid w:val="00414F1F"/>
    <w:rsid w:val="0043125D"/>
    <w:rsid w:val="0043502B"/>
    <w:rsid w:val="004443AC"/>
    <w:rsid w:val="00444B02"/>
    <w:rsid w:val="00451E28"/>
    <w:rsid w:val="00462C62"/>
    <w:rsid w:val="00465D36"/>
    <w:rsid w:val="00474D84"/>
    <w:rsid w:val="00483D66"/>
    <w:rsid w:val="004C17EE"/>
    <w:rsid w:val="004C4BDF"/>
    <w:rsid w:val="004D1187"/>
    <w:rsid w:val="004D3AA0"/>
    <w:rsid w:val="004E1987"/>
    <w:rsid w:val="004E2E15"/>
    <w:rsid w:val="004E6E3C"/>
    <w:rsid w:val="00520898"/>
    <w:rsid w:val="00523621"/>
    <w:rsid w:val="00524986"/>
    <w:rsid w:val="005268F6"/>
    <w:rsid w:val="00531CE3"/>
    <w:rsid w:val="00534284"/>
    <w:rsid w:val="00547DB7"/>
    <w:rsid w:val="005905EB"/>
    <w:rsid w:val="005A4A8F"/>
    <w:rsid w:val="005F4F09"/>
    <w:rsid w:val="0061431B"/>
    <w:rsid w:val="00622BAA"/>
    <w:rsid w:val="006306CF"/>
    <w:rsid w:val="00644207"/>
    <w:rsid w:val="00644E9A"/>
    <w:rsid w:val="00671BD5"/>
    <w:rsid w:val="006805C1"/>
    <w:rsid w:val="00680F27"/>
    <w:rsid w:val="00686C21"/>
    <w:rsid w:val="006931C1"/>
    <w:rsid w:val="00694556"/>
    <w:rsid w:val="006C30C5"/>
    <w:rsid w:val="006C4820"/>
    <w:rsid w:val="006D3B31"/>
    <w:rsid w:val="006E0D96"/>
    <w:rsid w:val="006E1A53"/>
    <w:rsid w:val="006F56E6"/>
    <w:rsid w:val="00704EDA"/>
    <w:rsid w:val="00721122"/>
    <w:rsid w:val="00740DE8"/>
    <w:rsid w:val="00753019"/>
    <w:rsid w:val="00754801"/>
    <w:rsid w:val="00761441"/>
    <w:rsid w:val="007679D1"/>
    <w:rsid w:val="00781304"/>
    <w:rsid w:val="00795365"/>
    <w:rsid w:val="007A351D"/>
    <w:rsid w:val="007B7765"/>
    <w:rsid w:val="007C5BDD"/>
    <w:rsid w:val="007D45E3"/>
    <w:rsid w:val="007E6115"/>
    <w:rsid w:val="007F4609"/>
    <w:rsid w:val="00814468"/>
    <w:rsid w:val="008176A1"/>
    <w:rsid w:val="00820005"/>
    <w:rsid w:val="0084240F"/>
    <w:rsid w:val="00844318"/>
    <w:rsid w:val="0086061C"/>
    <w:rsid w:val="008607C9"/>
    <w:rsid w:val="00863F5D"/>
    <w:rsid w:val="00870890"/>
    <w:rsid w:val="00873602"/>
    <w:rsid w:val="00875D12"/>
    <w:rsid w:val="00881CCE"/>
    <w:rsid w:val="0088479D"/>
    <w:rsid w:val="00896889"/>
    <w:rsid w:val="00897DAF"/>
    <w:rsid w:val="008A05CC"/>
    <w:rsid w:val="008C5714"/>
    <w:rsid w:val="008D10B2"/>
    <w:rsid w:val="00903896"/>
    <w:rsid w:val="00906F3D"/>
    <w:rsid w:val="0094424E"/>
    <w:rsid w:val="00955642"/>
    <w:rsid w:val="009622DF"/>
    <w:rsid w:val="0096493F"/>
    <w:rsid w:val="0096644A"/>
    <w:rsid w:val="00967DFF"/>
    <w:rsid w:val="00994341"/>
    <w:rsid w:val="00996935"/>
    <w:rsid w:val="009C1043"/>
    <w:rsid w:val="009D1A48"/>
    <w:rsid w:val="009E1CE7"/>
    <w:rsid w:val="009E4EA5"/>
    <w:rsid w:val="009F164B"/>
    <w:rsid w:val="009F323C"/>
    <w:rsid w:val="00A07AC2"/>
    <w:rsid w:val="00A3392B"/>
    <w:rsid w:val="00A85E34"/>
    <w:rsid w:val="00A94B64"/>
    <w:rsid w:val="00AA3229"/>
    <w:rsid w:val="00AA7596"/>
    <w:rsid w:val="00AB5E52"/>
    <w:rsid w:val="00AC1527"/>
    <w:rsid w:val="00AC30D6"/>
    <w:rsid w:val="00AC3B02"/>
    <w:rsid w:val="00AC3B7B"/>
    <w:rsid w:val="00AC5209"/>
    <w:rsid w:val="00AE0E34"/>
    <w:rsid w:val="00AE6784"/>
    <w:rsid w:val="00AE729E"/>
    <w:rsid w:val="00AE7752"/>
    <w:rsid w:val="00AF7F76"/>
    <w:rsid w:val="00AF7FDA"/>
    <w:rsid w:val="00B02818"/>
    <w:rsid w:val="00B5356E"/>
    <w:rsid w:val="00B73BC1"/>
    <w:rsid w:val="00B809AD"/>
    <w:rsid w:val="00B80CBD"/>
    <w:rsid w:val="00B86096"/>
    <w:rsid w:val="00B964D9"/>
    <w:rsid w:val="00BA0A7C"/>
    <w:rsid w:val="00BA517C"/>
    <w:rsid w:val="00BA51A7"/>
    <w:rsid w:val="00BB3D05"/>
    <w:rsid w:val="00BB73BE"/>
    <w:rsid w:val="00BC2D89"/>
    <w:rsid w:val="00BD6531"/>
    <w:rsid w:val="00BE05B2"/>
    <w:rsid w:val="00BE398D"/>
    <w:rsid w:val="00BE625F"/>
    <w:rsid w:val="00BF1908"/>
    <w:rsid w:val="00C0255C"/>
    <w:rsid w:val="00C22D93"/>
    <w:rsid w:val="00C23458"/>
    <w:rsid w:val="00C31120"/>
    <w:rsid w:val="00C34482"/>
    <w:rsid w:val="00C43648"/>
    <w:rsid w:val="00C50A9F"/>
    <w:rsid w:val="00C642FA"/>
    <w:rsid w:val="00CC7622"/>
    <w:rsid w:val="00CD608F"/>
    <w:rsid w:val="00CE6FB9"/>
    <w:rsid w:val="00CF4FD1"/>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462BA"/>
    <w:rsid w:val="00E5426A"/>
    <w:rsid w:val="00E54642"/>
    <w:rsid w:val="00E54CD9"/>
    <w:rsid w:val="00E80CBE"/>
    <w:rsid w:val="00E962E3"/>
    <w:rsid w:val="00EB6C79"/>
    <w:rsid w:val="00EC37E9"/>
    <w:rsid w:val="00EF0E3D"/>
    <w:rsid w:val="00F038D8"/>
    <w:rsid w:val="00F06995"/>
    <w:rsid w:val="00F13623"/>
    <w:rsid w:val="00F44D1D"/>
    <w:rsid w:val="00F83789"/>
    <w:rsid w:val="00F83EBD"/>
    <w:rsid w:val="00F84B6D"/>
    <w:rsid w:val="00F957E8"/>
    <w:rsid w:val="00FA311A"/>
    <w:rsid w:val="00FA5FDA"/>
    <w:rsid w:val="00FB6AB3"/>
    <w:rsid w:val="00FB7F9D"/>
    <w:rsid w:val="00FD1419"/>
    <w:rsid w:val="00FD79E4"/>
    <w:rsid w:val="00FE2818"/>
    <w:rsid w:val="00FE2894"/>
    <w:rsid w:val="00FF25C2"/>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BE625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20">
    <w:name w:val="כותרת 2 תו"/>
    <w:basedOn w:val="a0"/>
    <w:link w:val="2"/>
    <w:semiHidden/>
    <w:rsid w:val="00BE625F"/>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271543">
      <w:bodyDiv w:val="1"/>
      <w:marLeft w:val="0"/>
      <w:marRight w:val="0"/>
      <w:marTop w:val="0"/>
      <w:marBottom w:val="0"/>
      <w:divBdr>
        <w:top w:val="none" w:sz="0" w:space="0" w:color="auto"/>
        <w:left w:val="none" w:sz="0" w:space="0" w:color="auto"/>
        <w:bottom w:val="none" w:sz="0" w:space="0" w:color="auto"/>
        <w:right w:val="none" w:sz="0" w:space="0" w:color="auto"/>
      </w:divBdr>
      <w:divsChild>
        <w:div w:id="1492597038">
          <w:marLeft w:val="0"/>
          <w:marRight w:val="0"/>
          <w:marTop w:val="0"/>
          <w:marBottom w:val="60"/>
          <w:divBdr>
            <w:top w:val="none" w:sz="0" w:space="0" w:color="auto"/>
            <w:left w:val="none" w:sz="0" w:space="0" w:color="auto"/>
            <w:bottom w:val="none" w:sz="0" w:space="0" w:color="auto"/>
            <w:right w:val="none" w:sz="0" w:space="0" w:color="auto"/>
          </w:divBdr>
          <w:divsChild>
            <w:div w:id="2016686551">
              <w:marLeft w:val="0"/>
              <w:marRight w:val="0"/>
              <w:marTop w:val="0"/>
              <w:marBottom w:val="0"/>
              <w:divBdr>
                <w:top w:val="none" w:sz="0" w:space="0" w:color="auto"/>
                <w:left w:val="none" w:sz="0" w:space="0" w:color="auto"/>
                <w:bottom w:val="none" w:sz="0" w:space="0" w:color="auto"/>
                <w:right w:val="none" w:sz="0" w:space="0" w:color="auto"/>
              </w:divBdr>
            </w:div>
            <w:div w:id="1104305988">
              <w:marLeft w:val="0"/>
              <w:marRight w:val="0"/>
              <w:marTop w:val="0"/>
              <w:marBottom w:val="0"/>
              <w:divBdr>
                <w:top w:val="none" w:sz="0" w:space="0" w:color="auto"/>
                <w:left w:val="none" w:sz="0" w:space="0" w:color="auto"/>
                <w:bottom w:val="none" w:sz="0" w:space="0" w:color="auto"/>
                <w:right w:val="none" w:sz="0" w:space="0" w:color="auto"/>
              </w:divBdr>
              <w:divsChild>
                <w:div w:id="1492136298">
                  <w:marLeft w:val="150"/>
                  <w:marRight w:val="0"/>
                  <w:marTop w:val="30"/>
                  <w:marBottom w:val="0"/>
                  <w:divBdr>
                    <w:top w:val="none" w:sz="0" w:space="0" w:color="auto"/>
                    <w:left w:val="none" w:sz="0" w:space="0" w:color="auto"/>
                    <w:bottom w:val="none" w:sz="0" w:space="0" w:color="auto"/>
                    <w:right w:val="none" w:sz="0" w:space="0" w:color="auto"/>
                  </w:divBdr>
                  <w:divsChild>
                    <w:div w:id="2049185726">
                      <w:marLeft w:val="0"/>
                      <w:marRight w:val="0"/>
                      <w:marTop w:val="0"/>
                      <w:marBottom w:val="0"/>
                      <w:divBdr>
                        <w:top w:val="none" w:sz="0" w:space="0" w:color="auto"/>
                        <w:left w:val="none" w:sz="0" w:space="0" w:color="auto"/>
                        <w:bottom w:val="none" w:sz="0" w:space="0" w:color="auto"/>
                        <w:right w:val="none" w:sz="0" w:space="0" w:color="auto"/>
                      </w:divBdr>
                    </w:div>
                  </w:divsChild>
                </w:div>
                <w:div w:id="684015922">
                  <w:marLeft w:val="0"/>
                  <w:marRight w:val="0"/>
                  <w:marTop w:val="0"/>
                  <w:marBottom w:val="0"/>
                  <w:divBdr>
                    <w:top w:val="none" w:sz="0" w:space="0" w:color="auto"/>
                    <w:left w:val="none" w:sz="0" w:space="0" w:color="auto"/>
                    <w:bottom w:val="none" w:sz="0" w:space="0" w:color="auto"/>
                    <w:right w:val="none" w:sz="0" w:space="0" w:color="auto"/>
                  </w:divBdr>
                  <w:divsChild>
                    <w:div w:id="487788937">
                      <w:marLeft w:val="0"/>
                      <w:marRight w:val="0"/>
                      <w:marTop w:val="0"/>
                      <w:marBottom w:val="0"/>
                      <w:divBdr>
                        <w:top w:val="none" w:sz="0" w:space="0" w:color="auto"/>
                        <w:left w:val="none" w:sz="0" w:space="0" w:color="auto"/>
                        <w:bottom w:val="none" w:sz="0" w:space="0" w:color="auto"/>
                        <w:right w:val="none" w:sz="0" w:space="0" w:color="auto"/>
                      </w:divBdr>
                      <w:divsChild>
                        <w:div w:id="1453093927">
                          <w:marLeft w:val="0"/>
                          <w:marRight w:val="0"/>
                          <w:marTop w:val="0"/>
                          <w:marBottom w:val="0"/>
                          <w:divBdr>
                            <w:top w:val="none" w:sz="0" w:space="0" w:color="auto"/>
                            <w:left w:val="none" w:sz="0" w:space="0" w:color="auto"/>
                            <w:bottom w:val="none" w:sz="0" w:space="0" w:color="auto"/>
                            <w:right w:val="none" w:sz="0" w:space="0" w:color="auto"/>
                          </w:divBdr>
                          <w:divsChild>
                            <w:div w:id="371537966">
                              <w:marLeft w:val="0"/>
                              <w:marRight w:val="0"/>
                              <w:marTop w:val="0"/>
                              <w:marBottom w:val="0"/>
                              <w:divBdr>
                                <w:top w:val="none" w:sz="0" w:space="0" w:color="auto"/>
                                <w:left w:val="none" w:sz="0" w:space="0" w:color="auto"/>
                                <w:bottom w:val="none" w:sz="0" w:space="0" w:color="auto"/>
                                <w:right w:val="none" w:sz="0" w:space="0" w:color="auto"/>
                              </w:divBdr>
                              <w:divsChild>
                                <w:div w:id="185095815">
                                  <w:marLeft w:val="360"/>
                                  <w:marRight w:val="360"/>
                                  <w:marTop w:val="360"/>
                                  <w:marBottom w:val="360"/>
                                  <w:divBdr>
                                    <w:top w:val="none" w:sz="0" w:space="0" w:color="auto"/>
                                    <w:left w:val="none" w:sz="0" w:space="0" w:color="auto"/>
                                    <w:bottom w:val="none" w:sz="0" w:space="0" w:color="auto"/>
                                    <w:right w:val="none" w:sz="0" w:space="0" w:color="auto"/>
                                  </w:divBdr>
                                  <w:divsChild>
                                    <w:div w:id="97144022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805125966">
                      <w:marLeft w:val="0"/>
                      <w:marRight w:val="0"/>
                      <w:marTop w:val="0"/>
                      <w:marBottom w:val="0"/>
                      <w:divBdr>
                        <w:top w:val="none" w:sz="0" w:space="0" w:color="auto"/>
                        <w:left w:val="none" w:sz="0" w:space="0" w:color="auto"/>
                        <w:bottom w:val="none" w:sz="0" w:space="0" w:color="auto"/>
                        <w:right w:val="none" w:sz="0" w:space="0" w:color="auto"/>
                      </w:divBdr>
                    </w:div>
                  </w:divsChild>
                </w:div>
                <w:div w:id="2044209950">
                  <w:marLeft w:val="150"/>
                  <w:marRight w:val="0"/>
                  <w:marTop w:val="30"/>
                  <w:marBottom w:val="0"/>
                  <w:divBdr>
                    <w:top w:val="none" w:sz="0" w:space="0" w:color="auto"/>
                    <w:left w:val="none" w:sz="0" w:space="0" w:color="auto"/>
                    <w:bottom w:val="none" w:sz="0" w:space="0" w:color="auto"/>
                    <w:right w:val="none" w:sz="0" w:space="0" w:color="auto"/>
                  </w:divBdr>
                  <w:divsChild>
                    <w:div w:id="1964774448">
                      <w:marLeft w:val="0"/>
                      <w:marRight w:val="0"/>
                      <w:marTop w:val="0"/>
                      <w:marBottom w:val="0"/>
                      <w:divBdr>
                        <w:top w:val="none" w:sz="0" w:space="0" w:color="auto"/>
                        <w:left w:val="none" w:sz="0" w:space="0" w:color="auto"/>
                        <w:bottom w:val="none" w:sz="0" w:space="0" w:color="auto"/>
                        <w:right w:val="none" w:sz="0" w:space="0" w:color="auto"/>
                      </w:divBdr>
                      <w:divsChild>
                        <w:div w:id="982468920">
                          <w:marLeft w:val="0"/>
                          <w:marRight w:val="0"/>
                          <w:marTop w:val="30"/>
                          <w:marBottom w:val="30"/>
                          <w:divBdr>
                            <w:top w:val="single" w:sz="6" w:space="0" w:color="DADCE0"/>
                            <w:left w:val="single" w:sz="6" w:space="6" w:color="DADCE0"/>
                            <w:bottom w:val="single" w:sz="6" w:space="0" w:color="DADCE0"/>
                            <w:right w:val="single" w:sz="6" w:space="6" w:color="DADCE0"/>
                          </w:divBdr>
                        </w:div>
                      </w:divsChild>
                    </w:div>
                  </w:divsChild>
                </w:div>
              </w:divsChild>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2300F" w:rsidP="00E2300F">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A5039"/>
    <w:rsid w:val="005157ED"/>
    <w:rsid w:val="00556D67"/>
    <w:rsid w:val="00746837"/>
    <w:rsid w:val="00793995"/>
    <w:rsid w:val="007C6F98"/>
    <w:rsid w:val="007E254A"/>
    <w:rsid w:val="0086433F"/>
    <w:rsid w:val="008B4366"/>
    <w:rsid w:val="009133C7"/>
    <w:rsid w:val="009178E4"/>
    <w:rsid w:val="00961B27"/>
    <w:rsid w:val="0097669E"/>
    <w:rsid w:val="00990020"/>
    <w:rsid w:val="00AA7CE3"/>
    <w:rsid w:val="00B42D7E"/>
    <w:rsid w:val="00B45677"/>
    <w:rsid w:val="00B91FA3"/>
    <w:rsid w:val="00BE6557"/>
    <w:rsid w:val="00C84023"/>
    <w:rsid w:val="00C96C06"/>
    <w:rsid w:val="00E2300F"/>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2300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אמנון דוד בנישתי</FullName>
        <FirstName>אמנון דוד</FirstName>
        <LastName>בנישתי</LastName>
        <PartyPropertyName/>
        <AuthenticationTypeAndNumber>מ.ר. 51161</AuthenticationTypeAndNumber>
        <RepresentatedOrRepresentativesNames>רועי אלחיאני</RepresentatedOrRepresentativesNames>
        <RepresentatedOrRepresentativesCount>1</RepresentatedOrRepresentativesCount>
        <InvitedBy/>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260774555</CasePartyID>
        <PartyTypeID>2</PartyTypeID>
        <ActivityStatusID>1</ActivityStatusID>
        <PartyAliasID>21</PartyAliasID>
        <PartyAliasName>בא כוח נתבעים</PartyAliasName>
        <LegalEntityID>15873093</LegalEntityID>
        <CaseLegalEntityID>126006731</CaseLegalEntityID>
        <AuthenticationTypeID>4</AuthenticationTypeID>
        <AuthenticationTypeName>מ.ר.</AuthenticationTypeName>
        <LegalEntityNumber>51161</LegalEntityNumber>
        <IsMainPartyType>true</IsMainPartyType>
        <CaseDisplayIdentifier>14550-07-23</CaseDisplayIdentifier>
        <CaseTypeID>10262</CaseTypeID>
        <CaseTypeName>תביעה לאחר הסדר התדיינויות במשפחה (תלה"מ)</CaseTypeName>
        <CaseName>שקיר נ' אלחיאני</CaseName>
        <FullAddress>חן 33/2 ערד ערד</FullAddress>
        <EmailAddress>benishti.amnon@gmail.com</EmailAddress>
        <MotionID>0</MotionID>
        <CasePleaID>0</CasePleaID>
        <LinkedCaseID>0</LinkedCaseID>
        <PartyID>2</PartyID>
        <CasePartyCategoryID>2</CasePartyCategoryID>
        <LegalEntityAddressID>73464066</LegalEntityAddressID>
        <LegalEntityEmailAddressID>14803119</LegalEntityEmailAddressID>
        <PleaTypeID>4</PleaTypeID>
        <LawyerOfficeName>משרד עו"ד אמנון דוד בנישתי</LawyerOfficeName>
        <LawyerOfficeID>15873094</LawyerOfficeID>
        <GroupPartyAlias/>
        <IsConverted>false</IsConverted>
        <LegalEntityNameID>17520190</LegalEntityNameID>
        <RepresentatedNamesOfAssistant/>
        <LegalEntityTypeID>4</LegalEntityTypeID>
        <IsVerdictExists>false</IsVerdictExists>
        <IsAsirAzir>false</IsAsirAzir>
        <MainAndSecSpec/>
        <IsPublicationProhibited>false</IsPublicationProhibited>
        <PublicationProhibitedFullName>אמנון דוד בנישתי</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הדס שקיר</FullName>
        <FirstName>הדס</FirstName>
        <LastName>שקיר</LastName>
        <PartyPropertyName/>
        <AuthenticationTypeAndNumber>ת"ז 036956647</AuthenticationTypeAndNumber>
        <RepresentatedOrRepresentativesNames>רועי ברומר</RepresentatedOrRepresentativesNames>
        <RepresentatedOrRepresentativesCount>1</RepresentatedOrRepresentativesCount>
        <InvitedBy/>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271440907</CasePartyID>
        <PartyTypeID>1</PartyTypeID>
        <ActivityStatusID>1</ActivityStatusID>
        <PartyAliasID>3</PartyAliasID>
        <PartyAliasName>מבקש</PartyAliasName>
        <OrdinalNumber>1</OrdinalNumber>
        <LegalEntityID>73888671</LegalEntityID>
        <CaseLegalEntityID>125065151</CaseLegalEntityID>
        <AuthenticationTypeID>1</AuthenticationTypeID>
        <AuthenticationTypeName>ת"ז</AuthenticationTypeName>
        <LegalEntityNumber>036956647</LegalEntityNumber>
        <IsMainPartyType>false</IsMainPartyType>
        <CaseDisplayIdentifier>14550-07-23</CaseDisplayIdentifier>
        <CaseTypeID>10262</CaseTypeID>
        <CaseTypeName>תביעה לאחר הסדר התדיינויות במשפחה (תלה"מ)</CaseTypeName>
        <CaseName>שקיר נ' אלחיאני</CaseName>
        <FullAddress>שד' אצל 40 אשקלון </FullAddress>
        <MotionID>108264411</MotionID>
        <CasePleaID>0</CasePleaID>
        <FatherName>יאיר</FatherName>
        <LinkedCaseID>0</LinkedCaseID>
        <PartyID>1</PartyID>
        <CasePartyCategoryID>4</CasePartyCategoryID>
        <LegalEntityAddressID>88137761</LegalEntityAddressID>
        <PleaTypeID>60</PleaTypeID>
        <GroupPartyAlias>מבקשים</GroupPartyAlias>
        <IsConverted>false</IsConverted>
        <LegalEntityRegisteredNameID>8318225</LegalEntityRegisteredNameID>
        <LegalEntityNameID>95135834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הדס שקיר</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רועי אלחיאני</FullName>
        <FirstName>רועי</FirstName>
        <LastName>אלחיאני</LastName>
        <PartyPropertyName/>
        <AuthenticationTypeAndNumber>ת"ז 039182928</AuthenticationTypeAndNumber>
        <RepresentatedOrRepresentativesNames>אמנון דוד בנישתי</RepresentatedOrRepresentativesNames>
        <RepresentatedOrRepresentativesCount>1</RepresentatedOrRepresentativesCount>
        <InvitedBy/>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271440908</CasePartyID>
        <PartyTypeID>1</PartyTypeID>
        <ActivityStatusID>1</ActivityStatusID>
        <PartyAliasID>4</PartyAliasID>
        <PartyAliasName>משיב</PartyAliasName>
        <OrdinalNumber>1</OrdinalNumber>
        <LegalEntityID>34409573</LegalEntityID>
        <CaseLegalEntityID>125065153</CaseLegalEntityID>
        <AuthenticationTypeID>1</AuthenticationTypeID>
        <AuthenticationTypeName>ת"ז</AuthenticationTypeName>
        <LegalEntityNumber>039182928</LegalEntityNumber>
        <IsMainPartyType>false</IsMainPartyType>
        <CaseDisplayIdentifier>14550-07-23</CaseDisplayIdentifier>
        <CaseTypeID>10262</CaseTypeID>
        <CaseTypeName>תביעה לאחר הסדר התדיינויות במשפחה (תלה"מ)</CaseTypeName>
        <CaseName>שקיר נ' אלחיאני</CaseName>
        <FullAddress>כלנית 15 נתיבות </FullAddress>
        <MotionID>108264411</MotionID>
        <CasePleaID>0</CasePleaID>
        <FatherName>משה</FatherName>
        <LinkedCaseID>0</LinkedCaseID>
        <PartyID>2</PartyID>
        <CasePartyCategoryID>4</CasePartyCategoryID>
        <LegalEntityAddressID>88137762</LegalEntityAddressID>
        <PleaTypeID>60</PleaTypeID>
        <GroupPartyAlias>משיבים</GroupPartyAlias>
        <IsConverted>false</IsConverted>
        <LegalEntityRegisteredNameID>6166366</LegalEntityRegisteredNameID>
        <LegalEntityNameID>95135835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רועי אלחיאני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ברומר</FullName>
        <FirstName>רועי</FirstName>
        <LastName>ברומר</LastName>
        <PartyPropertyName/>
        <AuthenticationTypeAndNumber>מ.ר. 65036</AuthenticationTypeAndNumber>
        <RepresentatedOrRepresentativesNames>הדס שקיר</RepresentatedOrRepresentativesNames>
        <RepresentatedOrRepresentativesCount>1</RepresentatedOrRepresentativesCount>
        <InvitedBy/>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258014963</CasePartyID>
        <PartyTypeID>2</PartyTypeID>
        <ActivityStatusID>1</ActivityStatusID>
        <PartyAliasID>20</PartyAliasID>
        <PartyAliasName>בא כוח תובעים</PartyAliasName>
        <OrdinalNumber>1</OrdinalNumber>
        <LegalEntityID>73005426</LegalEntityID>
        <CaseLegalEntityID>125065152</CaseLegalEntityID>
        <AuthenticationTypeID>4</AuthenticationTypeID>
        <AuthenticationTypeName>מ.ר.</AuthenticationTypeName>
        <LegalEntityNumber>65036</LegalEntityNumber>
        <IsMainPartyType>true</IsMainPartyType>
        <CaseDisplayIdentifier>14550-07-23</CaseDisplayIdentifier>
        <CaseTypeID>10262</CaseTypeID>
        <CaseTypeName>תביעה לאחר הסדר התדיינויות במשפחה (תלה"מ)</CaseTypeName>
        <CaseName>שקיר נ' אלחיאני</CaseName>
        <FullAddress>שוהם 62 רחובות </FullAddress>
        <EmailAddress>brumeroffice@gmail.com</EmailAddress>
        <MotionID>0</MotionID>
        <CasePleaID>0</CasePleaID>
        <LinkedCaseID>0</LinkedCaseID>
        <PartyID>1</PartyID>
        <CasePartyCategoryID>2</CasePartyCategoryID>
        <LegalEntityAddressID>85266547</LegalEntityAddressID>
        <LegalEntityEmailAddressID>68091438</LegalEntityEmailAddressID>
        <PleaTypeID>4</PleaTypeID>
        <LawyerOfficeName>משרד עו"ד רועי ברומר</LawyerOfficeName>
        <LawyerOfficeID>73005427</LawyerOfficeID>
        <GroupPartyAlias/>
        <IsConverted>false</IsConverted>
        <LegalEntityNameID>77391198</LegalEntityNameID>
        <RepresentatedNamesOfAssistant/>
        <LegalEntityTypeID>4</LegalEntityTypeID>
        <IsVerdictExists>false</IsVerdictExists>
        <IsAsirAzir>false</IsAsirAzir>
        <MainAndSecSpec/>
        <IsPublicationProhibited>false</IsPublicationProhibited>
        <PublicationProhibitedFullName>רועי ברומר</PublicationProhibitedFullName>
      </CaseParties>
    </CasePartiesSelectionDS>
    <DecisionName>החלטה</DecisionName>
    <CourtDisplayName>בית משפט לענייני משפחה בבאר שבע</CourtDisplayName>
    <IsCaseJudgePanel>false</IsCaseJudgePanel>
    <DecisionSignatureDate>2024-07-08T16:26:22.3257165+03:00</DecisionSignatureDate>
    <OpenCaseDate>2023-07-06T11:38:00+03:00</OpenCaseDate>
    <CaseFeeSum>0.000</CaseFeeSum>
    <DecisionTypeID>1</DecisionTypeID>
    <DecisionSignatureUserName>רותם קודלר עיאש</DecisionSignatureUserName>
    <MotionID>108264411</MotionID>
    <DecisionSignatureDateHebrew>2024-07-08T16:26:22.3257165+03:00</DecisionSignatureDateHebrew>
    <MotionNumber>3</MotionNumber>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שקיר נ' אלחיאני</CaseName>
    <DecisionNumberInCase>6</DecisionNumberInCase>
  </dt_Decision>
  <dt_DecisionCase>
    <DecisionID>0</DecisionID>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אמנון דוד בנישתי</FullName>
        <FirstName>אמנון דוד</FirstName>
        <LastName>בנישתי</LastName>
        <PartyPropertyName/>
        <AuthenticationTypeAndNumber>מ.ר. 51161</AuthenticationTypeAndNumber>
        <RepresentatedOrRepresentativesNames>רועי אלחיאני</RepresentatedOrRepresentativesNames>
        <RepresentatedOrRepresentativesCount>1</RepresentatedOrRepresentativesCount>
        <InvitedBy/>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260774555</CasePartyID>
        <PartyTypeID>2</PartyTypeID>
        <ActivityStatusID>1</ActivityStatusID>
        <PartyAliasID>21</PartyAliasID>
        <PartyAliasName>בא כוח נתבעים</PartyAliasName>
        <LegalEntityID>15873093</LegalEntityID>
        <CaseLegalEntityID>126006731</CaseLegalEntityID>
        <AuthenticationTypeID>4</AuthenticationTypeID>
        <AuthenticationTypeName>מ.ר.</AuthenticationTypeName>
        <LegalEntityNumber>51161</LegalEntityNumber>
        <IsMainPartyType>true</IsMainPartyType>
        <CaseDisplayIdentifier>14550-07-23</CaseDisplayIdentifier>
        <CaseTypeID>10262</CaseTypeID>
        <CaseTypeName>תביעה לאחר הסדר התדיינויות במשפחה (תלה"מ)</CaseTypeName>
        <CaseName>שקיר נ' אלחיאני</CaseName>
        <FullAddress>חן 33/2 ערד ערד</FullAddress>
        <EmailAddress>benishti.amnon@gmail.com</EmailAddress>
        <MotionID>0</MotionID>
        <CasePleaID>0</CasePleaID>
        <LinkedCaseID>0</LinkedCaseID>
        <PartyID>2</PartyID>
        <CasePartyCategoryID>2</CasePartyCategoryID>
        <LegalEntityAddressID>73464066</LegalEntityAddressID>
        <LegalEntityEmailAddressID>14803119</LegalEntityEmailAddressID>
        <PleaTypeID>4</PleaTypeID>
        <LawyerOfficeName>משרד עו"ד אמנון דוד בנישתי</LawyerOfficeName>
        <LawyerOfficeID>15873094</LawyerOfficeID>
        <GroupPartyAlias/>
        <IsConverted>false</IsConverted>
        <LegalEntityNameID>17520190</LegalEntityNameID>
        <RepresentatedNamesOfAssistant/>
        <LegalEntityTypeID>4</LegalEntityTypeID>
        <IsVerdictExists>false</IsVerdictExists>
        <IsAsirAzir>false</IsAsirAzir>
        <MainAndSecSpec/>
        <IsPublicationProhibited>false</IsPublicationProhibited>
        <PublicationProhibitedFullName>אמנון דוד בנישתי</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הדס שקיר</FullName>
        <FirstName>הדס</FirstName>
        <LastName>שקיר</LastName>
        <PartyPropertyName/>
        <AuthenticationTypeAndNumber>ת"ז 036956647</AuthenticationTypeAndNumber>
        <RepresentatedOrRepresentativesNames>רועי ברומר</RepresentatedOrRepresentativesNames>
        <RepresentatedOrRepresentativesCount>1</RepresentatedOrRepresentativesCount>
        <InvitedBy/>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271440907</CasePartyID>
        <PartyTypeID>1</PartyTypeID>
        <ActivityStatusID>1</ActivityStatusID>
        <PartyAliasID>3</PartyAliasID>
        <PartyAliasName>מבקש</PartyAliasName>
        <OrdinalNumber>1</OrdinalNumber>
        <LegalEntityID>73888671</LegalEntityID>
        <CaseLegalEntityID>125065151</CaseLegalEntityID>
        <AuthenticationTypeID>1</AuthenticationTypeID>
        <AuthenticationTypeName>ת"ז</AuthenticationTypeName>
        <LegalEntityNumber>036956647</LegalEntityNumber>
        <IsMainPartyType>false</IsMainPartyType>
        <CaseDisplayIdentifier>14550-07-23</CaseDisplayIdentifier>
        <CaseTypeID>10262</CaseTypeID>
        <CaseTypeName>תביעה לאחר הסדר התדיינויות במשפחה (תלה"מ)</CaseTypeName>
        <CaseName>שקיר נ' אלחיאני</CaseName>
        <FullAddress>שד' אצל 40 אשקלון </FullAddress>
        <MotionID>108264411</MotionID>
        <CasePleaID>0</CasePleaID>
        <FatherName>יאיר</FatherName>
        <LinkedCaseID>0</LinkedCaseID>
        <PartyID>1</PartyID>
        <CasePartyCategoryID>4</CasePartyCategoryID>
        <LegalEntityAddressID>88137761</LegalEntityAddressID>
        <PleaTypeID>60</PleaTypeID>
        <GroupPartyAlias>מבקשים</GroupPartyAlias>
        <IsConverted>false</IsConverted>
        <LegalEntityRegisteredNameID>8318225</LegalEntityRegisteredNameID>
        <LegalEntityNameID>95135834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הדס שקיר</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רועי אלחיאני</FullName>
        <FirstName>רועי</FirstName>
        <LastName>אלחיאני</LastName>
        <PartyPropertyName/>
        <AuthenticationTypeAndNumber>ת"ז 039182928</AuthenticationTypeAndNumber>
        <RepresentatedOrRepresentativesNames>אמנון דוד בנישתי</RepresentatedOrRepresentativesNames>
        <RepresentatedOrRepresentativesCount>1</RepresentatedOrRepresentativesCount>
        <InvitedBy/>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271440908</CasePartyID>
        <PartyTypeID>1</PartyTypeID>
        <ActivityStatusID>1</ActivityStatusID>
        <PartyAliasID>4</PartyAliasID>
        <PartyAliasName>משיב</PartyAliasName>
        <OrdinalNumber>1</OrdinalNumber>
        <LegalEntityID>34409573</LegalEntityID>
        <CaseLegalEntityID>125065153</CaseLegalEntityID>
        <AuthenticationTypeID>1</AuthenticationTypeID>
        <AuthenticationTypeName>ת"ז</AuthenticationTypeName>
        <LegalEntityNumber>039182928</LegalEntityNumber>
        <IsMainPartyType>false</IsMainPartyType>
        <CaseDisplayIdentifier>14550-07-23</CaseDisplayIdentifier>
        <CaseTypeID>10262</CaseTypeID>
        <CaseTypeName>תביעה לאחר הסדר התדיינויות במשפחה (תלה"מ)</CaseTypeName>
        <CaseName>שקיר נ' אלחיאני</CaseName>
        <FullAddress>כלנית 15 נתיבות </FullAddress>
        <MotionID>108264411</MotionID>
        <CasePleaID>0</CasePleaID>
        <FatherName>משה</FatherName>
        <LinkedCaseID>0</LinkedCaseID>
        <PartyID>2</PartyID>
        <CasePartyCategoryID>4</CasePartyCategoryID>
        <LegalEntityAddressID>88137762</LegalEntityAddressID>
        <PleaTypeID>60</PleaTypeID>
        <GroupPartyAlias>משיבים</GroupPartyAlias>
        <IsConverted>false</IsConverted>
        <LegalEntityRegisteredNameID>6166366</LegalEntityRegisteredNameID>
        <LegalEntityNameID>95135835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רועי אלחיאני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ברומר</FullName>
        <FirstName>רועי</FirstName>
        <LastName>ברומר</LastName>
        <PartyPropertyName/>
        <AuthenticationTypeAndNumber>מ.ר. 65036</AuthenticationTypeAndNumber>
        <RepresentatedOrRepresentativesNames>הדס שקיר</RepresentatedOrRepresentativesNames>
        <RepresentatedOrRepresentativesCount>1</RepresentatedOrRepresentativesCount>
        <InvitedBy/>
        <CaseID>80406688</CaseID>
        <CaseJudicialPersonPresentationDS>
          <CaseJudicalPersonActive>
            <CaseID>80406688</CaseID>
            <MotionID>108264411</MotionID>
            <JudicialPersonID>025596065@GOV.IL</JudicialPersonID>
            <JudicialPersonTypeID>1</JudicialPersonTypeID>
            <JudicialTypeID>1</JudicialTypeID>
            <IsChairman>false</IsChairman>
            <TreatmentStartDate>2024-06-16T09:17:36.547+03:00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258014963</CasePartyID>
        <PartyTypeID>2</PartyTypeID>
        <ActivityStatusID>1</ActivityStatusID>
        <PartyAliasID>20</PartyAliasID>
        <PartyAliasName>בא כוח תובעים</PartyAliasName>
        <OrdinalNumber>1</OrdinalNumber>
        <LegalEntityID>73005426</LegalEntityID>
        <CaseLegalEntityID>125065152</CaseLegalEntityID>
        <AuthenticationTypeID>4</AuthenticationTypeID>
        <AuthenticationTypeName>מ.ר.</AuthenticationTypeName>
        <LegalEntityNumber>65036</LegalEntityNumber>
        <IsMainPartyType>true</IsMainPartyType>
        <CaseDisplayIdentifier>14550-07-23</CaseDisplayIdentifier>
        <CaseTypeID>10262</CaseTypeID>
        <CaseTypeName>תביעה לאחר הסדר התדיינויות במשפחה (תלה"מ)</CaseTypeName>
        <CaseName>שקיר נ' אלחיאני</CaseName>
        <FullAddress>שוהם 62 רחובות </FullAddress>
        <EmailAddress>brumeroffice@gmail.com</EmailAddress>
        <MotionID>0</MotionID>
        <CasePleaID>0</CasePleaID>
        <LinkedCaseID>0</LinkedCaseID>
        <PartyID>1</PartyID>
        <CasePartyCategoryID>2</CasePartyCategoryID>
        <LegalEntityAddressID>85266547</LegalEntityAddressID>
        <LegalEntityEmailAddressID>68091438</LegalEntityEmailAddressID>
        <PleaTypeID>4</PleaTypeID>
        <LawyerOfficeName>משרד עו"ד רועי ברומר</LawyerOfficeName>
        <LawyerOfficeID>73005427</LawyerOfficeID>
        <GroupPartyAlias/>
        <IsConverted>false</IsConverted>
        <LegalEntityNameID>77391198</LegalEntityNameID>
        <RepresentatedNamesOfAssistant/>
        <LegalEntityTypeID>4</LegalEntityTypeID>
        <IsVerdictExists>false</IsVerdictExists>
        <IsAsirAzir>false</IsAsirAzir>
        <MainAndSecSpec/>
        <IsPublicationProhibited>false</IsPublicationProhibited>
        <PublicationProhibitedFullName>רועי ברומר</PublicationProhibitedFullName>
      </CaseParties>
    </CasePartiesSelectionDS>
    <CaseName>שקיר נ' אלחיאני</CaseName>
    <CaseDisplayIdentifier>14550-07-23</CaseDisplayIdentifier>
    <CaseInterestID>10118</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08-9975575</Fax>
    <Phone> 08-9956407</Phone>
    <AddressDesc>ערד</AddressDesc>
    <PartyID>2</PartyID>
    <PartyTypeID>2</PartyTypeID>
    <DecisionID>0</DecisionID>
    <StreetName>חן 33/2</StreetName>
    <ZipCode>89101</ZipCode>
    <CityName>ערד</CityName>
    <FullName>אמנון דוד בנישתי</FullName>
    <Email>benishti.amnon@gmail.com</Email>
    <IsPublicationProhibited>false</IsPublicationProhibited>
  </dt_LegalEntityDetails>
  <dt_LegalEntityDetails>
    <PartyID>1</PartyID>
    <PartyTypeID>1</PartyTypeID>
    <DecisionID>0</DecisionID>
    <StreetName>שד' אצל 40</StreetName>
    <CityName>אשקלון</CityName>
    <FullName>הדס שקיר</FullName>
    <IsPublicationProhibited>false</IsPublicationProhibited>
  </dt_LegalEntityDetails>
  <dt_LegalEntityDetails>
    <Fax>03-9066651</Fax>
    <Phone>03-6552553</Phone>
    <PartyID>1</PartyID>
    <PartyTypeID>2</PartyTypeID>
    <DecisionID>0</DecisionID>
    <StreetName>שוהם 62</StreetName>
    <CityName>רחובות</CityName>
    <FullName>רועי ברומר</FullName>
    <Email>brumeroffice@gmail.com</Email>
    <IsPublicationProhibited>false</IsPublicationProhibited>
  </dt_LegalEntityDetails>
  <dt_LegalEntityDetails>
    <PartyID>2</PartyID>
    <PartyTypeID>1</PartyTypeID>
    <DecisionID>0</DecisionID>
    <StreetName>כלנית 15</StreetName>
    <CityName>נתיבות</CityName>
    <FullName>רועי אלחיאני</FullName>
    <IsPublicationProhibited>false</IsPublicationProhibited>
  </dt_LegalEntityDetails>
  <dt_CaseJudicalPersonActive>
    <CaseJudicalPerson>שופטת, סגנית הנשיא רותם קודלר עיאש</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DF740-2BB6-4AD5-9F46-DBA528350BC7}">
  <ds:schemaRefs/>
</ds:datastoreItem>
</file>

<file path=customXml/itemProps2.xml><?xml version="1.0" encoding="utf-8"?>
<ds:datastoreItem xmlns:ds="http://schemas.openxmlformats.org/officeDocument/2006/customXml" ds:itemID="{6A6BA8F3-59FD-496E-B941-82DB2BC6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4313</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2024-07-28T09:34:00Z</dcterms:created>
  <dcterms:modified xsi:type="dcterms:W3CDTF">2024-07-28T09:34:00Z</dcterms:modified>
</cp:coreProperties>
</file>